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D649D" w14:textId="39D036CE" w:rsidR="001B4E5A" w:rsidRDefault="001B4E5A" w:rsidP="002C4C9D">
      <w:pPr>
        <w:pStyle w:val="Title"/>
        <w:jc w:val="center"/>
        <w:rPr>
          <w:color w:val="C45911" w:themeColor="accent2" w:themeShade="BF"/>
        </w:rPr>
      </w:pPr>
      <w:r w:rsidRPr="001B4E5A">
        <w:drawing>
          <wp:inline distT="0" distB="0" distL="0" distR="0" wp14:anchorId="0B665DE3" wp14:editId="3A955C52">
            <wp:extent cx="2604443" cy="957263"/>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22525" b="18666"/>
                    <a:stretch/>
                  </pic:blipFill>
                  <pic:spPr bwMode="auto">
                    <a:xfrm>
                      <a:off x="0" y="0"/>
                      <a:ext cx="2612753" cy="960317"/>
                    </a:xfrm>
                    <a:prstGeom prst="rect">
                      <a:avLst/>
                    </a:prstGeom>
                    <a:ln>
                      <a:noFill/>
                    </a:ln>
                    <a:extLst>
                      <a:ext uri="{53640926-AAD7-44D8-BBD7-CCE9431645EC}">
                        <a14:shadowObscured xmlns:a14="http://schemas.microsoft.com/office/drawing/2010/main"/>
                      </a:ext>
                    </a:extLst>
                  </pic:spPr>
                </pic:pic>
              </a:graphicData>
            </a:graphic>
          </wp:inline>
        </w:drawing>
      </w:r>
    </w:p>
    <w:p w14:paraId="03D34BBD" w14:textId="5C0D4F66" w:rsidR="00793CD4" w:rsidRDefault="00793CD4" w:rsidP="00793CD4"/>
    <w:p w14:paraId="05ABEFAC" w14:textId="30165760" w:rsidR="00793CD4" w:rsidRDefault="00793CD4" w:rsidP="00793CD4"/>
    <w:p w14:paraId="6422D910" w14:textId="77777777" w:rsidR="00793CD4" w:rsidRPr="00793CD4" w:rsidRDefault="00793CD4" w:rsidP="00793CD4"/>
    <w:p w14:paraId="4979151A" w14:textId="5A79ABCE" w:rsidR="00C52F0A" w:rsidRPr="00793CD4" w:rsidRDefault="002C4C9D" w:rsidP="002C4C9D">
      <w:pPr>
        <w:pStyle w:val="Title"/>
        <w:jc w:val="center"/>
        <w:rPr>
          <w:color w:val="C45911" w:themeColor="accent2" w:themeShade="BF"/>
          <w:sz w:val="96"/>
          <w:szCs w:val="96"/>
        </w:rPr>
      </w:pPr>
      <w:r w:rsidRPr="00793CD4">
        <w:rPr>
          <w:color w:val="C45911" w:themeColor="accent2" w:themeShade="BF"/>
          <w:sz w:val="96"/>
          <w:szCs w:val="96"/>
        </w:rPr>
        <w:t>Policy for Induction of Newly Qualified Teachers (NQTs)</w:t>
      </w:r>
    </w:p>
    <w:p w14:paraId="72BB2CBC" w14:textId="068EC9BE" w:rsidR="002C4C9D" w:rsidRDefault="002C4C9D"/>
    <w:p w14:paraId="1EE1E851" w14:textId="77777777" w:rsidR="00A07270" w:rsidRDefault="00A07270" w:rsidP="00A07270"/>
    <w:p w14:paraId="433E6E7A" w14:textId="77777777" w:rsidR="00A07270" w:rsidRDefault="00A07270" w:rsidP="00A07270"/>
    <w:p w14:paraId="0A1E8945" w14:textId="77777777" w:rsidR="00A07270" w:rsidRDefault="00A07270" w:rsidP="00A07270"/>
    <w:p w14:paraId="0FB694B8" w14:textId="1A7CFE97" w:rsidR="00A07270" w:rsidRDefault="00A07270" w:rsidP="00A07270"/>
    <w:p w14:paraId="483FB1EF" w14:textId="4E99F7D0" w:rsidR="00A07270" w:rsidRDefault="00A07270" w:rsidP="00A07270"/>
    <w:p w14:paraId="03C4C62D" w14:textId="2EF35722" w:rsidR="00A07270" w:rsidRDefault="00A07270" w:rsidP="00A07270"/>
    <w:p w14:paraId="7B026FDD" w14:textId="27EE16D4" w:rsidR="0095773A" w:rsidRDefault="0095773A" w:rsidP="00A07270"/>
    <w:p w14:paraId="73EE7896" w14:textId="77777777" w:rsidR="00793CD4" w:rsidRDefault="00793CD4" w:rsidP="00A07270"/>
    <w:p w14:paraId="02E074CD" w14:textId="77ED9B69" w:rsidR="0095773A" w:rsidRDefault="0095773A" w:rsidP="00A07270"/>
    <w:p w14:paraId="716FFB29" w14:textId="77777777" w:rsidR="0095773A" w:rsidRDefault="0095773A" w:rsidP="00A07270"/>
    <w:p w14:paraId="44EBB84A" w14:textId="77777777" w:rsidR="00A07270" w:rsidRDefault="00A07270" w:rsidP="00A07270"/>
    <w:tbl>
      <w:tblPr>
        <w:tblW w:w="10537" w:type="dxa"/>
        <w:tblInd w:w="-709"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5268"/>
        <w:gridCol w:w="5269"/>
      </w:tblGrid>
      <w:tr w:rsidR="00A07270" w:rsidRPr="00883133" w14:paraId="0517F0FE" w14:textId="77777777" w:rsidTr="00883133">
        <w:tc>
          <w:tcPr>
            <w:tcW w:w="5268" w:type="dxa"/>
            <w:tcBorders>
              <w:top w:val="nil"/>
              <w:bottom w:val="single" w:sz="18" w:space="0" w:color="FFFFFF"/>
            </w:tcBorders>
            <w:shd w:val="clear" w:color="auto" w:fill="F7CAAC" w:themeFill="accent2" w:themeFillTint="66"/>
          </w:tcPr>
          <w:p w14:paraId="00DEBF30" w14:textId="344FC990" w:rsidR="00A07270" w:rsidRPr="00883133" w:rsidRDefault="00883133" w:rsidP="00A07270">
            <w:pPr>
              <w:pStyle w:val="1bodycopy10pt"/>
              <w:rPr>
                <w:rFonts w:asciiTheme="minorHAnsi" w:hAnsiTheme="minorHAnsi" w:cstheme="minorHAnsi"/>
                <w:bCs/>
                <w:sz w:val="22"/>
                <w:szCs w:val="22"/>
              </w:rPr>
            </w:pPr>
            <w:r>
              <w:rPr>
                <w:rFonts w:asciiTheme="minorHAnsi" w:hAnsiTheme="minorHAnsi" w:cstheme="minorHAnsi"/>
                <w:b/>
                <w:sz w:val="22"/>
                <w:szCs w:val="22"/>
              </w:rPr>
              <w:t xml:space="preserve">Author: </w:t>
            </w:r>
            <w:r>
              <w:rPr>
                <w:rFonts w:asciiTheme="minorHAnsi" w:hAnsiTheme="minorHAnsi" w:cstheme="minorHAnsi"/>
                <w:bCs/>
                <w:sz w:val="22"/>
                <w:szCs w:val="22"/>
              </w:rPr>
              <w:t>S. Morris (Assistant Headteacher)</w:t>
            </w:r>
          </w:p>
        </w:tc>
        <w:tc>
          <w:tcPr>
            <w:tcW w:w="5269" w:type="dxa"/>
            <w:tcBorders>
              <w:top w:val="nil"/>
              <w:bottom w:val="single" w:sz="18" w:space="0" w:color="FFFFFF"/>
            </w:tcBorders>
            <w:shd w:val="clear" w:color="auto" w:fill="F7CAAC" w:themeFill="accent2" w:themeFillTint="66"/>
          </w:tcPr>
          <w:p w14:paraId="7C593374" w14:textId="2FA6A8BD" w:rsidR="00A07270" w:rsidRPr="00883133" w:rsidRDefault="00883133" w:rsidP="00431BA2">
            <w:pPr>
              <w:pStyle w:val="1bodycopy11pt"/>
              <w:rPr>
                <w:rFonts w:asciiTheme="minorHAnsi" w:hAnsiTheme="minorHAnsi" w:cstheme="minorHAnsi"/>
                <w:szCs w:val="22"/>
              </w:rPr>
            </w:pPr>
            <w:r w:rsidRPr="00883133">
              <w:rPr>
                <w:rFonts w:asciiTheme="minorHAnsi" w:hAnsiTheme="minorHAnsi" w:cstheme="minorHAnsi"/>
                <w:b/>
                <w:szCs w:val="22"/>
              </w:rPr>
              <w:t xml:space="preserve">Approved by:  </w:t>
            </w:r>
            <w:r w:rsidRPr="00883133">
              <w:rPr>
                <w:rFonts w:asciiTheme="minorHAnsi" w:hAnsiTheme="minorHAnsi" w:cstheme="minorHAnsi"/>
                <w:szCs w:val="22"/>
              </w:rPr>
              <w:t>M. Cater (Headteacher)</w:t>
            </w:r>
          </w:p>
        </w:tc>
      </w:tr>
      <w:tr w:rsidR="00883133" w:rsidRPr="00883133" w14:paraId="26839C0F" w14:textId="77777777" w:rsidTr="00431BA2">
        <w:tc>
          <w:tcPr>
            <w:tcW w:w="5268" w:type="dxa"/>
            <w:tcBorders>
              <w:top w:val="single" w:sz="18" w:space="0" w:color="FFFFFF"/>
              <w:bottom w:val="single" w:sz="18" w:space="0" w:color="FFFFFF"/>
            </w:tcBorders>
            <w:shd w:val="clear" w:color="auto" w:fill="F7CAAC" w:themeFill="accent2" w:themeFillTint="66"/>
          </w:tcPr>
          <w:p w14:paraId="03F51A76" w14:textId="139F6951" w:rsidR="00883133" w:rsidRPr="00883133" w:rsidRDefault="00883133" w:rsidP="00A07270">
            <w:pPr>
              <w:pStyle w:val="1bodycopy10pt"/>
              <w:rPr>
                <w:rFonts w:asciiTheme="minorHAnsi" w:hAnsiTheme="minorHAnsi" w:cstheme="minorHAnsi"/>
                <w:b/>
                <w:sz w:val="22"/>
                <w:szCs w:val="22"/>
              </w:rPr>
            </w:pPr>
            <w:r w:rsidRPr="00883133">
              <w:rPr>
                <w:rFonts w:asciiTheme="minorHAnsi" w:hAnsiTheme="minorHAnsi" w:cstheme="minorHAnsi"/>
                <w:b/>
                <w:sz w:val="22"/>
                <w:szCs w:val="22"/>
              </w:rPr>
              <w:t>Date:</w:t>
            </w:r>
            <w:r w:rsidRPr="00883133">
              <w:rPr>
                <w:rFonts w:asciiTheme="minorHAnsi" w:hAnsiTheme="minorHAnsi" w:cstheme="minorHAnsi"/>
                <w:sz w:val="22"/>
                <w:szCs w:val="22"/>
              </w:rPr>
              <w:t xml:space="preserve"> </w:t>
            </w:r>
            <w:r>
              <w:rPr>
                <w:rFonts w:asciiTheme="minorHAnsi" w:hAnsiTheme="minorHAnsi" w:cstheme="minorHAnsi"/>
                <w:sz w:val="22"/>
                <w:szCs w:val="22"/>
              </w:rPr>
              <w:t>October</w:t>
            </w:r>
            <w:r w:rsidRPr="00883133">
              <w:rPr>
                <w:rFonts w:asciiTheme="minorHAnsi" w:hAnsiTheme="minorHAnsi" w:cstheme="minorHAnsi"/>
                <w:sz w:val="22"/>
                <w:szCs w:val="22"/>
              </w:rPr>
              <w:t xml:space="preserve"> 2020</w:t>
            </w:r>
          </w:p>
        </w:tc>
        <w:tc>
          <w:tcPr>
            <w:tcW w:w="5269" w:type="dxa"/>
            <w:tcBorders>
              <w:top w:val="single" w:sz="18" w:space="0" w:color="FFFFFF"/>
              <w:bottom w:val="single" w:sz="18" w:space="0" w:color="FFFFFF"/>
            </w:tcBorders>
            <w:shd w:val="clear" w:color="auto" w:fill="F7CAAC" w:themeFill="accent2" w:themeFillTint="66"/>
          </w:tcPr>
          <w:p w14:paraId="3F5477C5" w14:textId="20875C85" w:rsidR="00883133" w:rsidRPr="00883133" w:rsidRDefault="00883133" w:rsidP="00A07270">
            <w:pPr>
              <w:pStyle w:val="1bodycopy10pt"/>
              <w:rPr>
                <w:rFonts w:asciiTheme="minorHAnsi" w:hAnsiTheme="minorHAnsi" w:cstheme="minorHAnsi"/>
                <w:b/>
                <w:sz w:val="22"/>
                <w:szCs w:val="22"/>
              </w:rPr>
            </w:pPr>
          </w:p>
        </w:tc>
      </w:tr>
      <w:tr w:rsidR="00883133" w:rsidRPr="00883133" w14:paraId="12186087" w14:textId="77777777" w:rsidTr="00431BA2">
        <w:tc>
          <w:tcPr>
            <w:tcW w:w="5268" w:type="dxa"/>
            <w:tcBorders>
              <w:top w:val="single" w:sz="18" w:space="0" w:color="FFFFFF"/>
              <w:bottom w:val="nil"/>
            </w:tcBorders>
            <w:shd w:val="clear" w:color="auto" w:fill="F7CAAC" w:themeFill="accent2" w:themeFillTint="66"/>
          </w:tcPr>
          <w:p w14:paraId="5FBE8B65" w14:textId="29C53DE1" w:rsidR="00883133" w:rsidRPr="00883133" w:rsidRDefault="00883133" w:rsidP="00A07270">
            <w:pPr>
              <w:pStyle w:val="1bodycopy10pt"/>
              <w:rPr>
                <w:rFonts w:asciiTheme="minorHAnsi" w:hAnsiTheme="minorHAnsi" w:cstheme="minorHAnsi"/>
                <w:bCs/>
                <w:sz w:val="22"/>
                <w:szCs w:val="22"/>
              </w:rPr>
            </w:pPr>
            <w:r w:rsidRPr="00883133">
              <w:rPr>
                <w:rFonts w:asciiTheme="minorHAnsi" w:hAnsiTheme="minorHAnsi" w:cstheme="minorHAnsi"/>
                <w:b/>
                <w:sz w:val="22"/>
                <w:szCs w:val="22"/>
              </w:rPr>
              <w:t xml:space="preserve">Last reviewed </w:t>
            </w:r>
            <w:proofErr w:type="gramStart"/>
            <w:r w:rsidRPr="00883133">
              <w:rPr>
                <w:rFonts w:asciiTheme="minorHAnsi" w:hAnsiTheme="minorHAnsi" w:cstheme="minorHAnsi"/>
                <w:b/>
                <w:sz w:val="22"/>
                <w:szCs w:val="22"/>
              </w:rPr>
              <w:t>on:</w:t>
            </w:r>
            <w:proofErr w:type="gramEnd"/>
            <w:r w:rsidRPr="00883133">
              <w:rPr>
                <w:rFonts w:asciiTheme="minorHAnsi" w:hAnsiTheme="minorHAnsi" w:cstheme="minorHAnsi"/>
                <w:b/>
                <w:sz w:val="22"/>
                <w:szCs w:val="22"/>
              </w:rPr>
              <w:t xml:space="preserve"> </w:t>
            </w:r>
            <w:r w:rsidRPr="00883133">
              <w:rPr>
                <w:rFonts w:asciiTheme="minorHAnsi" w:hAnsiTheme="minorHAnsi" w:cstheme="minorHAnsi"/>
                <w:sz w:val="22"/>
                <w:szCs w:val="22"/>
              </w:rPr>
              <w:t>November 2020</w:t>
            </w:r>
          </w:p>
        </w:tc>
        <w:tc>
          <w:tcPr>
            <w:tcW w:w="5269" w:type="dxa"/>
            <w:tcBorders>
              <w:top w:val="single" w:sz="18" w:space="0" w:color="FFFFFF"/>
              <w:bottom w:val="nil"/>
            </w:tcBorders>
            <w:shd w:val="clear" w:color="auto" w:fill="F7CAAC" w:themeFill="accent2" w:themeFillTint="66"/>
          </w:tcPr>
          <w:p w14:paraId="753F226B" w14:textId="2F95908E" w:rsidR="00883133" w:rsidRPr="00883133" w:rsidRDefault="00883133" w:rsidP="00A07270">
            <w:pPr>
              <w:pStyle w:val="1bodycopy10pt"/>
              <w:rPr>
                <w:rFonts w:asciiTheme="minorHAnsi" w:hAnsiTheme="minorHAnsi" w:cstheme="minorHAnsi"/>
                <w:bCs/>
                <w:sz w:val="22"/>
                <w:szCs w:val="22"/>
              </w:rPr>
            </w:pPr>
            <w:r w:rsidRPr="00883133">
              <w:rPr>
                <w:rFonts w:asciiTheme="minorHAnsi" w:hAnsiTheme="minorHAnsi" w:cstheme="minorHAnsi"/>
                <w:b/>
                <w:sz w:val="22"/>
                <w:szCs w:val="22"/>
              </w:rPr>
              <w:t xml:space="preserve">Next review due </w:t>
            </w:r>
            <w:proofErr w:type="gramStart"/>
            <w:r w:rsidRPr="00883133">
              <w:rPr>
                <w:rFonts w:asciiTheme="minorHAnsi" w:hAnsiTheme="minorHAnsi" w:cstheme="minorHAnsi"/>
                <w:b/>
                <w:sz w:val="22"/>
                <w:szCs w:val="22"/>
              </w:rPr>
              <w:t>by:</w:t>
            </w:r>
            <w:proofErr w:type="gramEnd"/>
            <w:r w:rsidRPr="00883133">
              <w:rPr>
                <w:rFonts w:asciiTheme="minorHAnsi" w:hAnsiTheme="minorHAnsi" w:cstheme="minorHAnsi"/>
                <w:b/>
                <w:sz w:val="22"/>
                <w:szCs w:val="22"/>
              </w:rPr>
              <w:t xml:space="preserve"> </w:t>
            </w:r>
            <w:r w:rsidRPr="00883133">
              <w:rPr>
                <w:rFonts w:asciiTheme="minorHAnsi" w:hAnsiTheme="minorHAnsi" w:cstheme="minorHAnsi"/>
                <w:bCs/>
                <w:sz w:val="22"/>
                <w:szCs w:val="22"/>
              </w:rPr>
              <w:t>November 2021</w:t>
            </w:r>
          </w:p>
        </w:tc>
      </w:tr>
    </w:tbl>
    <w:sdt>
      <w:sdtPr>
        <w:id w:val="1604609989"/>
        <w:docPartObj>
          <w:docPartGallery w:val="Table of Contents"/>
          <w:docPartUnique/>
        </w:docPartObj>
      </w:sdtPr>
      <w:sdtEndPr>
        <w:rPr>
          <w:b/>
          <w:bCs/>
          <w:noProof/>
          <w:lang w:val="en-GB"/>
        </w:rPr>
      </w:sdtEndPr>
      <w:sdtContent>
        <w:p w14:paraId="619EDAA8" w14:textId="77777777" w:rsidR="0095773A" w:rsidRPr="0091454C" w:rsidRDefault="0095773A" w:rsidP="0095773A">
          <w:pPr>
            <w:pStyle w:val="TOCHeading"/>
            <w:rPr>
              <w:color w:val="C45911" w:themeColor="accent2" w:themeShade="BF"/>
            </w:rPr>
          </w:pPr>
          <w:r w:rsidRPr="0091454C">
            <w:rPr>
              <w:color w:val="C45911" w:themeColor="accent2" w:themeShade="BF"/>
            </w:rPr>
            <w:t>Contents</w:t>
          </w:r>
        </w:p>
        <w:p w14:paraId="2131709C" w14:textId="547B227D" w:rsidR="00793CD4" w:rsidRDefault="0095773A">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54775492" w:history="1">
            <w:r w:rsidR="00793CD4" w:rsidRPr="00793CD4">
              <w:rPr>
                <w:rStyle w:val="Hyperlink"/>
                <w:noProof/>
                <w:color w:val="000000" w:themeColor="text1"/>
              </w:rPr>
              <w:t>Abbreviations</w:t>
            </w:r>
            <w:r w:rsidR="00793CD4">
              <w:rPr>
                <w:noProof/>
                <w:webHidden/>
              </w:rPr>
              <w:tab/>
            </w:r>
            <w:r w:rsidR="00793CD4">
              <w:rPr>
                <w:noProof/>
                <w:webHidden/>
              </w:rPr>
              <w:fldChar w:fldCharType="begin"/>
            </w:r>
            <w:r w:rsidR="00793CD4">
              <w:rPr>
                <w:noProof/>
                <w:webHidden/>
              </w:rPr>
              <w:instrText xml:space="preserve"> PAGEREF _Toc54775492 \h </w:instrText>
            </w:r>
            <w:r w:rsidR="00793CD4">
              <w:rPr>
                <w:noProof/>
                <w:webHidden/>
              </w:rPr>
            </w:r>
            <w:r w:rsidR="00793CD4">
              <w:rPr>
                <w:noProof/>
                <w:webHidden/>
              </w:rPr>
              <w:fldChar w:fldCharType="separate"/>
            </w:r>
            <w:r w:rsidR="00793CD4">
              <w:rPr>
                <w:noProof/>
                <w:webHidden/>
              </w:rPr>
              <w:t>2</w:t>
            </w:r>
            <w:r w:rsidR="00793CD4">
              <w:rPr>
                <w:noProof/>
                <w:webHidden/>
              </w:rPr>
              <w:fldChar w:fldCharType="end"/>
            </w:r>
          </w:hyperlink>
        </w:p>
        <w:p w14:paraId="00B9D29D" w14:textId="723F7A9F" w:rsidR="00793CD4" w:rsidRPr="00793CD4" w:rsidRDefault="00793CD4">
          <w:pPr>
            <w:pStyle w:val="TOC1"/>
            <w:tabs>
              <w:tab w:val="right" w:leader="dot" w:pos="9016"/>
            </w:tabs>
            <w:rPr>
              <w:rFonts w:eastAsiaTheme="minorEastAsia"/>
              <w:noProof/>
              <w:color w:val="000000" w:themeColor="text1"/>
              <w:lang w:eastAsia="en-GB"/>
            </w:rPr>
          </w:pPr>
          <w:hyperlink w:anchor="_Toc54775493" w:history="1">
            <w:r w:rsidRPr="00793CD4">
              <w:rPr>
                <w:rStyle w:val="Hyperlink"/>
                <w:noProof/>
                <w:color w:val="000000" w:themeColor="text1"/>
              </w:rPr>
              <w:t>1. Rationale</w:t>
            </w:r>
            <w:r w:rsidRPr="00793CD4">
              <w:rPr>
                <w:noProof/>
                <w:webHidden/>
                <w:color w:val="000000" w:themeColor="text1"/>
              </w:rPr>
              <w:tab/>
            </w:r>
            <w:r w:rsidRPr="00793CD4">
              <w:rPr>
                <w:noProof/>
                <w:webHidden/>
                <w:color w:val="000000" w:themeColor="text1"/>
              </w:rPr>
              <w:fldChar w:fldCharType="begin"/>
            </w:r>
            <w:r w:rsidRPr="00793CD4">
              <w:rPr>
                <w:noProof/>
                <w:webHidden/>
                <w:color w:val="000000" w:themeColor="text1"/>
              </w:rPr>
              <w:instrText xml:space="preserve"> PAGEREF _Toc54775493 \h </w:instrText>
            </w:r>
            <w:r w:rsidRPr="00793CD4">
              <w:rPr>
                <w:noProof/>
                <w:webHidden/>
                <w:color w:val="000000" w:themeColor="text1"/>
              </w:rPr>
            </w:r>
            <w:r w:rsidRPr="00793CD4">
              <w:rPr>
                <w:noProof/>
                <w:webHidden/>
                <w:color w:val="000000" w:themeColor="text1"/>
              </w:rPr>
              <w:fldChar w:fldCharType="separate"/>
            </w:r>
            <w:r w:rsidRPr="00793CD4">
              <w:rPr>
                <w:noProof/>
                <w:webHidden/>
                <w:color w:val="000000" w:themeColor="text1"/>
              </w:rPr>
              <w:t>2</w:t>
            </w:r>
            <w:r w:rsidRPr="00793CD4">
              <w:rPr>
                <w:noProof/>
                <w:webHidden/>
                <w:color w:val="000000" w:themeColor="text1"/>
              </w:rPr>
              <w:fldChar w:fldCharType="end"/>
            </w:r>
          </w:hyperlink>
        </w:p>
        <w:p w14:paraId="73D18A04" w14:textId="036075C8" w:rsidR="00793CD4" w:rsidRPr="00793CD4" w:rsidRDefault="00793CD4">
          <w:pPr>
            <w:pStyle w:val="TOC1"/>
            <w:tabs>
              <w:tab w:val="right" w:leader="dot" w:pos="9016"/>
            </w:tabs>
            <w:rPr>
              <w:rFonts w:eastAsiaTheme="minorEastAsia"/>
              <w:noProof/>
              <w:color w:val="000000" w:themeColor="text1"/>
              <w:lang w:eastAsia="en-GB"/>
            </w:rPr>
          </w:pPr>
          <w:hyperlink w:anchor="_Toc54775494" w:history="1">
            <w:r w:rsidRPr="00793CD4">
              <w:rPr>
                <w:rStyle w:val="Hyperlink"/>
                <w:noProof/>
                <w:color w:val="000000" w:themeColor="text1"/>
              </w:rPr>
              <w:t>2. Legislation and statutory guidance</w:t>
            </w:r>
            <w:r w:rsidRPr="00793CD4">
              <w:rPr>
                <w:noProof/>
                <w:webHidden/>
                <w:color w:val="000000" w:themeColor="text1"/>
              </w:rPr>
              <w:tab/>
            </w:r>
            <w:r w:rsidRPr="00793CD4">
              <w:rPr>
                <w:noProof/>
                <w:webHidden/>
                <w:color w:val="000000" w:themeColor="text1"/>
              </w:rPr>
              <w:fldChar w:fldCharType="begin"/>
            </w:r>
            <w:r w:rsidRPr="00793CD4">
              <w:rPr>
                <w:noProof/>
                <w:webHidden/>
                <w:color w:val="000000" w:themeColor="text1"/>
              </w:rPr>
              <w:instrText xml:space="preserve"> PAGEREF _Toc54775494 \h </w:instrText>
            </w:r>
            <w:r w:rsidRPr="00793CD4">
              <w:rPr>
                <w:noProof/>
                <w:webHidden/>
                <w:color w:val="000000" w:themeColor="text1"/>
              </w:rPr>
            </w:r>
            <w:r w:rsidRPr="00793CD4">
              <w:rPr>
                <w:noProof/>
                <w:webHidden/>
                <w:color w:val="000000" w:themeColor="text1"/>
              </w:rPr>
              <w:fldChar w:fldCharType="separate"/>
            </w:r>
            <w:r w:rsidRPr="00793CD4">
              <w:rPr>
                <w:noProof/>
                <w:webHidden/>
                <w:color w:val="000000" w:themeColor="text1"/>
              </w:rPr>
              <w:t>3</w:t>
            </w:r>
            <w:r w:rsidRPr="00793CD4">
              <w:rPr>
                <w:noProof/>
                <w:webHidden/>
                <w:color w:val="000000" w:themeColor="text1"/>
              </w:rPr>
              <w:fldChar w:fldCharType="end"/>
            </w:r>
          </w:hyperlink>
        </w:p>
        <w:p w14:paraId="48A8ADC2" w14:textId="571DB5D5" w:rsidR="00793CD4" w:rsidRPr="00793CD4" w:rsidRDefault="00793CD4">
          <w:pPr>
            <w:pStyle w:val="TOC1"/>
            <w:tabs>
              <w:tab w:val="right" w:leader="dot" w:pos="9016"/>
            </w:tabs>
            <w:rPr>
              <w:rFonts w:eastAsiaTheme="minorEastAsia"/>
              <w:noProof/>
              <w:color w:val="000000" w:themeColor="text1"/>
              <w:lang w:eastAsia="en-GB"/>
            </w:rPr>
          </w:pPr>
          <w:hyperlink w:anchor="_Toc54775495" w:history="1">
            <w:r w:rsidRPr="00793CD4">
              <w:rPr>
                <w:rStyle w:val="Hyperlink"/>
                <w:noProof/>
                <w:color w:val="000000" w:themeColor="text1"/>
              </w:rPr>
              <w:t>3. Purposes</w:t>
            </w:r>
            <w:r w:rsidRPr="00793CD4">
              <w:rPr>
                <w:noProof/>
                <w:webHidden/>
                <w:color w:val="000000" w:themeColor="text1"/>
              </w:rPr>
              <w:tab/>
            </w:r>
            <w:r w:rsidRPr="00793CD4">
              <w:rPr>
                <w:noProof/>
                <w:webHidden/>
                <w:color w:val="000000" w:themeColor="text1"/>
              </w:rPr>
              <w:fldChar w:fldCharType="begin"/>
            </w:r>
            <w:r w:rsidRPr="00793CD4">
              <w:rPr>
                <w:noProof/>
                <w:webHidden/>
                <w:color w:val="000000" w:themeColor="text1"/>
              </w:rPr>
              <w:instrText xml:space="preserve"> PAGEREF _Toc54775495 \h </w:instrText>
            </w:r>
            <w:r w:rsidRPr="00793CD4">
              <w:rPr>
                <w:noProof/>
                <w:webHidden/>
                <w:color w:val="000000" w:themeColor="text1"/>
              </w:rPr>
            </w:r>
            <w:r w:rsidRPr="00793CD4">
              <w:rPr>
                <w:noProof/>
                <w:webHidden/>
                <w:color w:val="000000" w:themeColor="text1"/>
              </w:rPr>
              <w:fldChar w:fldCharType="separate"/>
            </w:r>
            <w:r w:rsidRPr="00793CD4">
              <w:rPr>
                <w:noProof/>
                <w:webHidden/>
                <w:color w:val="000000" w:themeColor="text1"/>
              </w:rPr>
              <w:t>3</w:t>
            </w:r>
            <w:r w:rsidRPr="00793CD4">
              <w:rPr>
                <w:noProof/>
                <w:webHidden/>
                <w:color w:val="000000" w:themeColor="text1"/>
              </w:rPr>
              <w:fldChar w:fldCharType="end"/>
            </w:r>
          </w:hyperlink>
        </w:p>
        <w:p w14:paraId="0A1EC146" w14:textId="25D64742" w:rsidR="00793CD4" w:rsidRPr="00793CD4" w:rsidRDefault="00793CD4">
          <w:pPr>
            <w:pStyle w:val="TOC1"/>
            <w:tabs>
              <w:tab w:val="right" w:leader="dot" w:pos="9016"/>
            </w:tabs>
            <w:rPr>
              <w:rFonts w:eastAsiaTheme="minorEastAsia"/>
              <w:noProof/>
              <w:color w:val="000000" w:themeColor="text1"/>
              <w:lang w:eastAsia="en-GB"/>
            </w:rPr>
          </w:pPr>
          <w:hyperlink w:anchor="_Toc54775496" w:history="1">
            <w:r w:rsidRPr="00793CD4">
              <w:rPr>
                <w:rStyle w:val="Hyperlink"/>
                <w:noProof/>
                <w:color w:val="000000" w:themeColor="text1"/>
              </w:rPr>
              <w:t>4. Roles and Responsibilities</w:t>
            </w:r>
            <w:r w:rsidRPr="00793CD4">
              <w:rPr>
                <w:noProof/>
                <w:webHidden/>
                <w:color w:val="000000" w:themeColor="text1"/>
              </w:rPr>
              <w:tab/>
            </w:r>
            <w:r w:rsidRPr="00793CD4">
              <w:rPr>
                <w:noProof/>
                <w:webHidden/>
                <w:color w:val="000000" w:themeColor="text1"/>
              </w:rPr>
              <w:fldChar w:fldCharType="begin"/>
            </w:r>
            <w:r w:rsidRPr="00793CD4">
              <w:rPr>
                <w:noProof/>
                <w:webHidden/>
                <w:color w:val="000000" w:themeColor="text1"/>
              </w:rPr>
              <w:instrText xml:space="preserve"> PAGEREF _Toc54775496 \h </w:instrText>
            </w:r>
            <w:r w:rsidRPr="00793CD4">
              <w:rPr>
                <w:noProof/>
                <w:webHidden/>
                <w:color w:val="000000" w:themeColor="text1"/>
              </w:rPr>
            </w:r>
            <w:r w:rsidRPr="00793CD4">
              <w:rPr>
                <w:noProof/>
                <w:webHidden/>
                <w:color w:val="000000" w:themeColor="text1"/>
              </w:rPr>
              <w:fldChar w:fldCharType="separate"/>
            </w:r>
            <w:r w:rsidRPr="00793CD4">
              <w:rPr>
                <w:noProof/>
                <w:webHidden/>
                <w:color w:val="000000" w:themeColor="text1"/>
              </w:rPr>
              <w:t>3</w:t>
            </w:r>
            <w:r w:rsidRPr="00793CD4">
              <w:rPr>
                <w:noProof/>
                <w:webHidden/>
                <w:color w:val="000000" w:themeColor="text1"/>
              </w:rPr>
              <w:fldChar w:fldCharType="end"/>
            </w:r>
          </w:hyperlink>
        </w:p>
        <w:p w14:paraId="58E94D14" w14:textId="3691A92B" w:rsidR="00793CD4" w:rsidRPr="00793CD4" w:rsidRDefault="00793CD4">
          <w:pPr>
            <w:pStyle w:val="TOC2"/>
            <w:tabs>
              <w:tab w:val="right" w:leader="dot" w:pos="9016"/>
            </w:tabs>
            <w:rPr>
              <w:rFonts w:eastAsiaTheme="minorEastAsia"/>
              <w:noProof/>
              <w:color w:val="000000" w:themeColor="text1"/>
              <w:lang w:eastAsia="en-GB"/>
            </w:rPr>
          </w:pPr>
          <w:hyperlink w:anchor="_Toc54775497" w:history="1">
            <w:r w:rsidRPr="00793CD4">
              <w:rPr>
                <w:rStyle w:val="Hyperlink"/>
                <w:noProof/>
                <w:color w:val="000000" w:themeColor="text1"/>
              </w:rPr>
              <w:t>4.1 The Governing Body</w:t>
            </w:r>
            <w:r w:rsidRPr="00793CD4">
              <w:rPr>
                <w:noProof/>
                <w:webHidden/>
                <w:color w:val="000000" w:themeColor="text1"/>
              </w:rPr>
              <w:tab/>
            </w:r>
            <w:r w:rsidRPr="00793CD4">
              <w:rPr>
                <w:noProof/>
                <w:webHidden/>
                <w:color w:val="000000" w:themeColor="text1"/>
              </w:rPr>
              <w:fldChar w:fldCharType="begin"/>
            </w:r>
            <w:r w:rsidRPr="00793CD4">
              <w:rPr>
                <w:noProof/>
                <w:webHidden/>
                <w:color w:val="000000" w:themeColor="text1"/>
              </w:rPr>
              <w:instrText xml:space="preserve"> PAGEREF _Toc54775497 \h </w:instrText>
            </w:r>
            <w:r w:rsidRPr="00793CD4">
              <w:rPr>
                <w:noProof/>
                <w:webHidden/>
                <w:color w:val="000000" w:themeColor="text1"/>
              </w:rPr>
            </w:r>
            <w:r w:rsidRPr="00793CD4">
              <w:rPr>
                <w:noProof/>
                <w:webHidden/>
                <w:color w:val="000000" w:themeColor="text1"/>
              </w:rPr>
              <w:fldChar w:fldCharType="separate"/>
            </w:r>
            <w:r w:rsidRPr="00793CD4">
              <w:rPr>
                <w:noProof/>
                <w:webHidden/>
                <w:color w:val="000000" w:themeColor="text1"/>
              </w:rPr>
              <w:t>3</w:t>
            </w:r>
            <w:r w:rsidRPr="00793CD4">
              <w:rPr>
                <w:noProof/>
                <w:webHidden/>
                <w:color w:val="000000" w:themeColor="text1"/>
              </w:rPr>
              <w:fldChar w:fldCharType="end"/>
            </w:r>
          </w:hyperlink>
        </w:p>
        <w:p w14:paraId="093EF061" w14:textId="591E7F4D" w:rsidR="00793CD4" w:rsidRPr="00793CD4" w:rsidRDefault="00793CD4">
          <w:pPr>
            <w:pStyle w:val="TOC2"/>
            <w:tabs>
              <w:tab w:val="right" w:leader="dot" w:pos="9016"/>
            </w:tabs>
            <w:rPr>
              <w:rFonts w:eastAsiaTheme="minorEastAsia"/>
              <w:noProof/>
              <w:color w:val="000000" w:themeColor="text1"/>
              <w:lang w:eastAsia="en-GB"/>
            </w:rPr>
          </w:pPr>
          <w:hyperlink w:anchor="_Toc54775498" w:history="1">
            <w:r w:rsidRPr="00793CD4">
              <w:rPr>
                <w:rStyle w:val="Hyperlink"/>
                <w:noProof/>
                <w:color w:val="000000" w:themeColor="text1"/>
              </w:rPr>
              <w:t>4.2 The Headteacher/SLT</w:t>
            </w:r>
            <w:r w:rsidRPr="00793CD4">
              <w:rPr>
                <w:noProof/>
                <w:webHidden/>
                <w:color w:val="000000" w:themeColor="text1"/>
              </w:rPr>
              <w:tab/>
            </w:r>
            <w:r w:rsidRPr="00793CD4">
              <w:rPr>
                <w:noProof/>
                <w:webHidden/>
                <w:color w:val="000000" w:themeColor="text1"/>
              </w:rPr>
              <w:fldChar w:fldCharType="begin"/>
            </w:r>
            <w:r w:rsidRPr="00793CD4">
              <w:rPr>
                <w:noProof/>
                <w:webHidden/>
                <w:color w:val="000000" w:themeColor="text1"/>
              </w:rPr>
              <w:instrText xml:space="preserve"> PAGEREF _Toc54775498 \h </w:instrText>
            </w:r>
            <w:r w:rsidRPr="00793CD4">
              <w:rPr>
                <w:noProof/>
                <w:webHidden/>
                <w:color w:val="000000" w:themeColor="text1"/>
              </w:rPr>
            </w:r>
            <w:r w:rsidRPr="00793CD4">
              <w:rPr>
                <w:noProof/>
                <w:webHidden/>
                <w:color w:val="000000" w:themeColor="text1"/>
              </w:rPr>
              <w:fldChar w:fldCharType="separate"/>
            </w:r>
            <w:r w:rsidRPr="00793CD4">
              <w:rPr>
                <w:noProof/>
                <w:webHidden/>
                <w:color w:val="000000" w:themeColor="text1"/>
              </w:rPr>
              <w:t>3</w:t>
            </w:r>
            <w:r w:rsidRPr="00793CD4">
              <w:rPr>
                <w:noProof/>
                <w:webHidden/>
                <w:color w:val="000000" w:themeColor="text1"/>
              </w:rPr>
              <w:fldChar w:fldCharType="end"/>
            </w:r>
          </w:hyperlink>
        </w:p>
        <w:p w14:paraId="4E98733B" w14:textId="6CAF55B4" w:rsidR="00793CD4" w:rsidRPr="00793CD4" w:rsidRDefault="00793CD4">
          <w:pPr>
            <w:pStyle w:val="TOC2"/>
            <w:tabs>
              <w:tab w:val="right" w:leader="dot" w:pos="9016"/>
            </w:tabs>
            <w:rPr>
              <w:rFonts w:eastAsiaTheme="minorEastAsia"/>
              <w:noProof/>
              <w:color w:val="000000" w:themeColor="text1"/>
              <w:lang w:eastAsia="en-GB"/>
            </w:rPr>
          </w:pPr>
          <w:hyperlink w:anchor="_Toc54775499" w:history="1">
            <w:r w:rsidRPr="00793CD4">
              <w:rPr>
                <w:rStyle w:val="Hyperlink"/>
                <w:noProof/>
                <w:color w:val="000000" w:themeColor="text1"/>
              </w:rPr>
              <w:t>4.3 Teacher Training Coordinator</w:t>
            </w:r>
            <w:r w:rsidRPr="00793CD4">
              <w:rPr>
                <w:noProof/>
                <w:webHidden/>
                <w:color w:val="000000" w:themeColor="text1"/>
              </w:rPr>
              <w:tab/>
            </w:r>
            <w:r w:rsidRPr="00793CD4">
              <w:rPr>
                <w:noProof/>
                <w:webHidden/>
                <w:color w:val="000000" w:themeColor="text1"/>
              </w:rPr>
              <w:fldChar w:fldCharType="begin"/>
            </w:r>
            <w:r w:rsidRPr="00793CD4">
              <w:rPr>
                <w:noProof/>
                <w:webHidden/>
                <w:color w:val="000000" w:themeColor="text1"/>
              </w:rPr>
              <w:instrText xml:space="preserve"> PAGEREF _Toc54775499 \h </w:instrText>
            </w:r>
            <w:r w:rsidRPr="00793CD4">
              <w:rPr>
                <w:noProof/>
                <w:webHidden/>
                <w:color w:val="000000" w:themeColor="text1"/>
              </w:rPr>
            </w:r>
            <w:r w:rsidRPr="00793CD4">
              <w:rPr>
                <w:noProof/>
                <w:webHidden/>
                <w:color w:val="000000" w:themeColor="text1"/>
              </w:rPr>
              <w:fldChar w:fldCharType="separate"/>
            </w:r>
            <w:r w:rsidRPr="00793CD4">
              <w:rPr>
                <w:noProof/>
                <w:webHidden/>
                <w:color w:val="000000" w:themeColor="text1"/>
              </w:rPr>
              <w:t>5</w:t>
            </w:r>
            <w:r w:rsidRPr="00793CD4">
              <w:rPr>
                <w:noProof/>
                <w:webHidden/>
                <w:color w:val="000000" w:themeColor="text1"/>
              </w:rPr>
              <w:fldChar w:fldCharType="end"/>
            </w:r>
          </w:hyperlink>
        </w:p>
        <w:p w14:paraId="49898EE7" w14:textId="33123AB4" w:rsidR="00793CD4" w:rsidRPr="00793CD4" w:rsidRDefault="00793CD4">
          <w:pPr>
            <w:pStyle w:val="TOC2"/>
            <w:tabs>
              <w:tab w:val="right" w:leader="dot" w:pos="9016"/>
            </w:tabs>
            <w:rPr>
              <w:rFonts w:eastAsiaTheme="minorEastAsia"/>
              <w:noProof/>
              <w:color w:val="000000" w:themeColor="text1"/>
              <w:lang w:eastAsia="en-GB"/>
            </w:rPr>
          </w:pPr>
          <w:hyperlink w:anchor="_Toc54775500" w:history="1">
            <w:r w:rsidRPr="00793CD4">
              <w:rPr>
                <w:rStyle w:val="Hyperlink"/>
                <w:noProof/>
                <w:color w:val="000000" w:themeColor="text1"/>
              </w:rPr>
              <w:t>4.4 Induction Mentors</w:t>
            </w:r>
            <w:r w:rsidRPr="00793CD4">
              <w:rPr>
                <w:noProof/>
                <w:webHidden/>
                <w:color w:val="000000" w:themeColor="text1"/>
              </w:rPr>
              <w:tab/>
            </w:r>
            <w:r w:rsidRPr="00793CD4">
              <w:rPr>
                <w:noProof/>
                <w:webHidden/>
                <w:color w:val="000000" w:themeColor="text1"/>
              </w:rPr>
              <w:fldChar w:fldCharType="begin"/>
            </w:r>
            <w:r w:rsidRPr="00793CD4">
              <w:rPr>
                <w:noProof/>
                <w:webHidden/>
                <w:color w:val="000000" w:themeColor="text1"/>
              </w:rPr>
              <w:instrText xml:space="preserve"> PAGEREF _Toc54775500 \h </w:instrText>
            </w:r>
            <w:r w:rsidRPr="00793CD4">
              <w:rPr>
                <w:noProof/>
                <w:webHidden/>
                <w:color w:val="000000" w:themeColor="text1"/>
              </w:rPr>
            </w:r>
            <w:r w:rsidRPr="00793CD4">
              <w:rPr>
                <w:noProof/>
                <w:webHidden/>
                <w:color w:val="000000" w:themeColor="text1"/>
              </w:rPr>
              <w:fldChar w:fldCharType="separate"/>
            </w:r>
            <w:r w:rsidRPr="00793CD4">
              <w:rPr>
                <w:noProof/>
                <w:webHidden/>
                <w:color w:val="000000" w:themeColor="text1"/>
              </w:rPr>
              <w:t>5</w:t>
            </w:r>
            <w:r w:rsidRPr="00793CD4">
              <w:rPr>
                <w:noProof/>
                <w:webHidden/>
                <w:color w:val="000000" w:themeColor="text1"/>
              </w:rPr>
              <w:fldChar w:fldCharType="end"/>
            </w:r>
          </w:hyperlink>
        </w:p>
        <w:p w14:paraId="3D3C000C" w14:textId="42F31BB0" w:rsidR="00793CD4" w:rsidRPr="00793CD4" w:rsidRDefault="00793CD4">
          <w:pPr>
            <w:pStyle w:val="TOC2"/>
            <w:tabs>
              <w:tab w:val="right" w:leader="dot" w:pos="9016"/>
            </w:tabs>
            <w:rPr>
              <w:rFonts w:eastAsiaTheme="minorEastAsia"/>
              <w:noProof/>
              <w:color w:val="000000" w:themeColor="text1"/>
              <w:lang w:eastAsia="en-GB"/>
            </w:rPr>
          </w:pPr>
          <w:hyperlink w:anchor="_Toc54775501" w:history="1">
            <w:r w:rsidRPr="00793CD4">
              <w:rPr>
                <w:rStyle w:val="Hyperlink"/>
                <w:noProof/>
                <w:color w:val="000000" w:themeColor="text1"/>
              </w:rPr>
              <w:t>4.5 Newly Qualified Teacher (NQT)</w:t>
            </w:r>
            <w:r w:rsidRPr="00793CD4">
              <w:rPr>
                <w:noProof/>
                <w:webHidden/>
                <w:color w:val="000000" w:themeColor="text1"/>
              </w:rPr>
              <w:tab/>
            </w:r>
            <w:r w:rsidRPr="00793CD4">
              <w:rPr>
                <w:noProof/>
                <w:webHidden/>
                <w:color w:val="000000" w:themeColor="text1"/>
              </w:rPr>
              <w:fldChar w:fldCharType="begin"/>
            </w:r>
            <w:r w:rsidRPr="00793CD4">
              <w:rPr>
                <w:noProof/>
                <w:webHidden/>
                <w:color w:val="000000" w:themeColor="text1"/>
              </w:rPr>
              <w:instrText xml:space="preserve"> PAGEREF _Toc54775501 \h </w:instrText>
            </w:r>
            <w:r w:rsidRPr="00793CD4">
              <w:rPr>
                <w:noProof/>
                <w:webHidden/>
                <w:color w:val="000000" w:themeColor="text1"/>
              </w:rPr>
            </w:r>
            <w:r w:rsidRPr="00793CD4">
              <w:rPr>
                <w:noProof/>
                <w:webHidden/>
                <w:color w:val="000000" w:themeColor="text1"/>
              </w:rPr>
              <w:fldChar w:fldCharType="separate"/>
            </w:r>
            <w:r w:rsidRPr="00793CD4">
              <w:rPr>
                <w:noProof/>
                <w:webHidden/>
                <w:color w:val="000000" w:themeColor="text1"/>
              </w:rPr>
              <w:t>5</w:t>
            </w:r>
            <w:r w:rsidRPr="00793CD4">
              <w:rPr>
                <w:noProof/>
                <w:webHidden/>
                <w:color w:val="000000" w:themeColor="text1"/>
              </w:rPr>
              <w:fldChar w:fldCharType="end"/>
            </w:r>
          </w:hyperlink>
        </w:p>
        <w:p w14:paraId="41DA94D1" w14:textId="176891E6" w:rsidR="00793CD4" w:rsidRPr="00793CD4" w:rsidRDefault="00793CD4">
          <w:pPr>
            <w:pStyle w:val="TOC3"/>
            <w:tabs>
              <w:tab w:val="right" w:leader="dot" w:pos="9016"/>
            </w:tabs>
            <w:rPr>
              <w:rFonts w:eastAsiaTheme="minorEastAsia"/>
              <w:noProof/>
              <w:color w:val="000000" w:themeColor="text1"/>
              <w:lang w:eastAsia="en-GB"/>
            </w:rPr>
          </w:pPr>
          <w:hyperlink w:anchor="_Toc54775502" w:history="1">
            <w:r w:rsidRPr="00793CD4">
              <w:rPr>
                <w:rStyle w:val="Hyperlink"/>
                <w:noProof/>
                <w:color w:val="000000" w:themeColor="text1"/>
              </w:rPr>
              <w:t>Before the induction period starts:</w:t>
            </w:r>
            <w:r w:rsidRPr="00793CD4">
              <w:rPr>
                <w:noProof/>
                <w:webHidden/>
                <w:color w:val="000000" w:themeColor="text1"/>
              </w:rPr>
              <w:tab/>
            </w:r>
            <w:r w:rsidRPr="00793CD4">
              <w:rPr>
                <w:noProof/>
                <w:webHidden/>
                <w:color w:val="000000" w:themeColor="text1"/>
              </w:rPr>
              <w:fldChar w:fldCharType="begin"/>
            </w:r>
            <w:r w:rsidRPr="00793CD4">
              <w:rPr>
                <w:noProof/>
                <w:webHidden/>
                <w:color w:val="000000" w:themeColor="text1"/>
              </w:rPr>
              <w:instrText xml:space="preserve"> PAGEREF _Toc54775502 \h </w:instrText>
            </w:r>
            <w:r w:rsidRPr="00793CD4">
              <w:rPr>
                <w:noProof/>
                <w:webHidden/>
                <w:color w:val="000000" w:themeColor="text1"/>
              </w:rPr>
            </w:r>
            <w:r w:rsidRPr="00793CD4">
              <w:rPr>
                <w:noProof/>
                <w:webHidden/>
                <w:color w:val="000000" w:themeColor="text1"/>
              </w:rPr>
              <w:fldChar w:fldCharType="separate"/>
            </w:r>
            <w:r w:rsidRPr="00793CD4">
              <w:rPr>
                <w:noProof/>
                <w:webHidden/>
                <w:color w:val="000000" w:themeColor="text1"/>
              </w:rPr>
              <w:t>5</w:t>
            </w:r>
            <w:r w:rsidRPr="00793CD4">
              <w:rPr>
                <w:noProof/>
                <w:webHidden/>
                <w:color w:val="000000" w:themeColor="text1"/>
              </w:rPr>
              <w:fldChar w:fldCharType="end"/>
            </w:r>
          </w:hyperlink>
        </w:p>
        <w:p w14:paraId="798BE233" w14:textId="2F43A0E3" w:rsidR="00793CD4" w:rsidRPr="00793CD4" w:rsidRDefault="00793CD4">
          <w:pPr>
            <w:pStyle w:val="TOC3"/>
            <w:tabs>
              <w:tab w:val="right" w:leader="dot" w:pos="9016"/>
            </w:tabs>
            <w:rPr>
              <w:rFonts w:eastAsiaTheme="minorEastAsia"/>
              <w:noProof/>
              <w:color w:val="000000" w:themeColor="text1"/>
              <w:lang w:eastAsia="en-GB"/>
            </w:rPr>
          </w:pPr>
          <w:hyperlink w:anchor="_Toc54775503" w:history="1">
            <w:r w:rsidRPr="00793CD4">
              <w:rPr>
                <w:rStyle w:val="Hyperlink"/>
                <w:noProof/>
                <w:color w:val="000000" w:themeColor="text1"/>
              </w:rPr>
              <w:t>During the induction period:</w:t>
            </w:r>
            <w:r w:rsidRPr="00793CD4">
              <w:rPr>
                <w:noProof/>
                <w:webHidden/>
                <w:color w:val="000000" w:themeColor="text1"/>
              </w:rPr>
              <w:tab/>
            </w:r>
            <w:r w:rsidRPr="00793CD4">
              <w:rPr>
                <w:noProof/>
                <w:webHidden/>
                <w:color w:val="000000" w:themeColor="text1"/>
              </w:rPr>
              <w:fldChar w:fldCharType="begin"/>
            </w:r>
            <w:r w:rsidRPr="00793CD4">
              <w:rPr>
                <w:noProof/>
                <w:webHidden/>
                <w:color w:val="000000" w:themeColor="text1"/>
              </w:rPr>
              <w:instrText xml:space="preserve"> PAGEREF _Toc54775503 \h </w:instrText>
            </w:r>
            <w:r w:rsidRPr="00793CD4">
              <w:rPr>
                <w:noProof/>
                <w:webHidden/>
                <w:color w:val="000000" w:themeColor="text1"/>
              </w:rPr>
            </w:r>
            <w:r w:rsidRPr="00793CD4">
              <w:rPr>
                <w:noProof/>
                <w:webHidden/>
                <w:color w:val="000000" w:themeColor="text1"/>
              </w:rPr>
              <w:fldChar w:fldCharType="separate"/>
            </w:r>
            <w:r w:rsidRPr="00793CD4">
              <w:rPr>
                <w:noProof/>
                <w:webHidden/>
                <w:color w:val="000000" w:themeColor="text1"/>
              </w:rPr>
              <w:t>5</w:t>
            </w:r>
            <w:r w:rsidRPr="00793CD4">
              <w:rPr>
                <w:noProof/>
                <w:webHidden/>
                <w:color w:val="000000" w:themeColor="text1"/>
              </w:rPr>
              <w:fldChar w:fldCharType="end"/>
            </w:r>
          </w:hyperlink>
        </w:p>
        <w:p w14:paraId="0671BB49" w14:textId="0A03670E" w:rsidR="00793CD4" w:rsidRPr="00793CD4" w:rsidRDefault="00793CD4">
          <w:pPr>
            <w:pStyle w:val="TOC2"/>
            <w:tabs>
              <w:tab w:val="right" w:leader="dot" w:pos="9016"/>
            </w:tabs>
            <w:rPr>
              <w:rFonts w:eastAsiaTheme="minorEastAsia"/>
              <w:noProof/>
              <w:color w:val="000000" w:themeColor="text1"/>
              <w:lang w:eastAsia="en-GB"/>
            </w:rPr>
          </w:pPr>
          <w:hyperlink w:anchor="_Toc54775504" w:history="1">
            <w:r w:rsidRPr="00793CD4">
              <w:rPr>
                <w:rStyle w:val="Hyperlink"/>
                <w:noProof/>
                <w:color w:val="000000" w:themeColor="text1"/>
              </w:rPr>
              <w:t>4.6 The Local Authority</w:t>
            </w:r>
            <w:r w:rsidRPr="00793CD4">
              <w:rPr>
                <w:noProof/>
                <w:webHidden/>
                <w:color w:val="000000" w:themeColor="text1"/>
              </w:rPr>
              <w:tab/>
            </w:r>
            <w:r w:rsidRPr="00793CD4">
              <w:rPr>
                <w:noProof/>
                <w:webHidden/>
                <w:color w:val="000000" w:themeColor="text1"/>
              </w:rPr>
              <w:fldChar w:fldCharType="begin"/>
            </w:r>
            <w:r w:rsidRPr="00793CD4">
              <w:rPr>
                <w:noProof/>
                <w:webHidden/>
                <w:color w:val="000000" w:themeColor="text1"/>
              </w:rPr>
              <w:instrText xml:space="preserve"> PAGEREF _Toc54775504 \h </w:instrText>
            </w:r>
            <w:r w:rsidRPr="00793CD4">
              <w:rPr>
                <w:noProof/>
                <w:webHidden/>
                <w:color w:val="000000" w:themeColor="text1"/>
              </w:rPr>
            </w:r>
            <w:r w:rsidRPr="00793CD4">
              <w:rPr>
                <w:noProof/>
                <w:webHidden/>
                <w:color w:val="000000" w:themeColor="text1"/>
              </w:rPr>
              <w:fldChar w:fldCharType="separate"/>
            </w:r>
            <w:r w:rsidRPr="00793CD4">
              <w:rPr>
                <w:noProof/>
                <w:webHidden/>
                <w:color w:val="000000" w:themeColor="text1"/>
              </w:rPr>
              <w:t>6</w:t>
            </w:r>
            <w:r w:rsidRPr="00793CD4">
              <w:rPr>
                <w:noProof/>
                <w:webHidden/>
                <w:color w:val="000000" w:themeColor="text1"/>
              </w:rPr>
              <w:fldChar w:fldCharType="end"/>
            </w:r>
          </w:hyperlink>
        </w:p>
        <w:p w14:paraId="542AA3A1" w14:textId="02DAB86C" w:rsidR="00793CD4" w:rsidRPr="00793CD4" w:rsidRDefault="00793CD4">
          <w:pPr>
            <w:pStyle w:val="TOC2"/>
            <w:tabs>
              <w:tab w:val="right" w:leader="dot" w:pos="9016"/>
            </w:tabs>
            <w:rPr>
              <w:rFonts w:eastAsiaTheme="minorEastAsia"/>
              <w:noProof/>
              <w:color w:val="000000" w:themeColor="text1"/>
              <w:lang w:eastAsia="en-GB"/>
            </w:rPr>
          </w:pPr>
          <w:hyperlink w:anchor="_Toc54775505" w:history="1">
            <w:r w:rsidRPr="00793CD4">
              <w:rPr>
                <w:rStyle w:val="Hyperlink"/>
                <w:noProof/>
                <w:color w:val="000000" w:themeColor="text1"/>
              </w:rPr>
              <w:t>4.7 The Appeal Body</w:t>
            </w:r>
            <w:r w:rsidRPr="00793CD4">
              <w:rPr>
                <w:noProof/>
                <w:webHidden/>
                <w:color w:val="000000" w:themeColor="text1"/>
              </w:rPr>
              <w:tab/>
            </w:r>
            <w:r w:rsidRPr="00793CD4">
              <w:rPr>
                <w:noProof/>
                <w:webHidden/>
                <w:color w:val="000000" w:themeColor="text1"/>
              </w:rPr>
              <w:fldChar w:fldCharType="begin"/>
            </w:r>
            <w:r w:rsidRPr="00793CD4">
              <w:rPr>
                <w:noProof/>
                <w:webHidden/>
                <w:color w:val="000000" w:themeColor="text1"/>
              </w:rPr>
              <w:instrText xml:space="preserve"> PAGEREF _Toc54775505 \h </w:instrText>
            </w:r>
            <w:r w:rsidRPr="00793CD4">
              <w:rPr>
                <w:noProof/>
                <w:webHidden/>
                <w:color w:val="000000" w:themeColor="text1"/>
              </w:rPr>
            </w:r>
            <w:r w:rsidRPr="00793CD4">
              <w:rPr>
                <w:noProof/>
                <w:webHidden/>
                <w:color w:val="000000" w:themeColor="text1"/>
              </w:rPr>
              <w:fldChar w:fldCharType="separate"/>
            </w:r>
            <w:r w:rsidRPr="00793CD4">
              <w:rPr>
                <w:noProof/>
                <w:webHidden/>
                <w:color w:val="000000" w:themeColor="text1"/>
              </w:rPr>
              <w:t>6</w:t>
            </w:r>
            <w:r w:rsidRPr="00793CD4">
              <w:rPr>
                <w:noProof/>
                <w:webHidden/>
                <w:color w:val="000000" w:themeColor="text1"/>
              </w:rPr>
              <w:fldChar w:fldCharType="end"/>
            </w:r>
          </w:hyperlink>
        </w:p>
        <w:p w14:paraId="02D4359A" w14:textId="2EDC50F3" w:rsidR="00793CD4" w:rsidRPr="00793CD4" w:rsidRDefault="00793CD4">
          <w:pPr>
            <w:pStyle w:val="TOC1"/>
            <w:tabs>
              <w:tab w:val="right" w:leader="dot" w:pos="9016"/>
            </w:tabs>
            <w:rPr>
              <w:rFonts w:eastAsiaTheme="minorEastAsia"/>
              <w:noProof/>
              <w:color w:val="000000" w:themeColor="text1"/>
              <w:lang w:eastAsia="en-GB"/>
            </w:rPr>
          </w:pPr>
          <w:hyperlink w:anchor="_Toc54775506" w:history="1">
            <w:r w:rsidRPr="00793CD4">
              <w:rPr>
                <w:rStyle w:val="Hyperlink"/>
                <w:noProof/>
                <w:color w:val="000000" w:themeColor="text1"/>
              </w:rPr>
              <w:t>5. The Induction Programme</w:t>
            </w:r>
            <w:r w:rsidRPr="00793CD4">
              <w:rPr>
                <w:noProof/>
                <w:webHidden/>
                <w:color w:val="000000" w:themeColor="text1"/>
              </w:rPr>
              <w:tab/>
            </w:r>
            <w:r w:rsidRPr="00793CD4">
              <w:rPr>
                <w:noProof/>
                <w:webHidden/>
                <w:color w:val="000000" w:themeColor="text1"/>
              </w:rPr>
              <w:fldChar w:fldCharType="begin"/>
            </w:r>
            <w:r w:rsidRPr="00793CD4">
              <w:rPr>
                <w:noProof/>
                <w:webHidden/>
                <w:color w:val="000000" w:themeColor="text1"/>
              </w:rPr>
              <w:instrText xml:space="preserve"> PAGEREF _Toc54775506 \h </w:instrText>
            </w:r>
            <w:r w:rsidRPr="00793CD4">
              <w:rPr>
                <w:noProof/>
                <w:webHidden/>
                <w:color w:val="000000" w:themeColor="text1"/>
              </w:rPr>
            </w:r>
            <w:r w:rsidRPr="00793CD4">
              <w:rPr>
                <w:noProof/>
                <w:webHidden/>
                <w:color w:val="000000" w:themeColor="text1"/>
              </w:rPr>
              <w:fldChar w:fldCharType="separate"/>
            </w:r>
            <w:r w:rsidRPr="00793CD4">
              <w:rPr>
                <w:noProof/>
                <w:webHidden/>
                <w:color w:val="000000" w:themeColor="text1"/>
              </w:rPr>
              <w:t>6</w:t>
            </w:r>
            <w:r w:rsidRPr="00793CD4">
              <w:rPr>
                <w:noProof/>
                <w:webHidden/>
                <w:color w:val="000000" w:themeColor="text1"/>
              </w:rPr>
              <w:fldChar w:fldCharType="end"/>
            </w:r>
          </w:hyperlink>
        </w:p>
        <w:p w14:paraId="22190DD1" w14:textId="26A8CEE3" w:rsidR="00793CD4" w:rsidRPr="00793CD4" w:rsidRDefault="00793CD4">
          <w:pPr>
            <w:pStyle w:val="TOC2"/>
            <w:tabs>
              <w:tab w:val="right" w:leader="dot" w:pos="9016"/>
            </w:tabs>
            <w:rPr>
              <w:rFonts w:eastAsiaTheme="minorEastAsia"/>
              <w:noProof/>
              <w:color w:val="000000" w:themeColor="text1"/>
              <w:lang w:eastAsia="en-GB"/>
            </w:rPr>
          </w:pPr>
          <w:hyperlink w:anchor="_Toc54775507" w:history="1">
            <w:r w:rsidRPr="00793CD4">
              <w:rPr>
                <w:rStyle w:val="Hyperlink"/>
                <w:noProof/>
                <w:color w:val="000000" w:themeColor="text1"/>
              </w:rPr>
              <w:t>5.1 Posts for Induction</w:t>
            </w:r>
            <w:r w:rsidRPr="00793CD4">
              <w:rPr>
                <w:noProof/>
                <w:webHidden/>
                <w:color w:val="000000" w:themeColor="text1"/>
              </w:rPr>
              <w:tab/>
            </w:r>
            <w:r w:rsidRPr="00793CD4">
              <w:rPr>
                <w:noProof/>
                <w:webHidden/>
                <w:color w:val="000000" w:themeColor="text1"/>
              </w:rPr>
              <w:fldChar w:fldCharType="begin"/>
            </w:r>
            <w:r w:rsidRPr="00793CD4">
              <w:rPr>
                <w:noProof/>
                <w:webHidden/>
                <w:color w:val="000000" w:themeColor="text1"/>
              </w:rPr>
              <w:instrText xml:space="preserve"> PAGEREF _Toc54775507 \h </w:instrText>
            </w:r>
            <w:r w:rsidRPr="00793CD4">
              <w:rPr>
                <w:noProof/>
                <w:webHidden/>
                <w:color w:val="000000" w:themeColor="text1"/>
              </w:rPr>
            </w:r>
            <w:r w:rsidRPr="00793CD4">
              <w:rPr>
                <w:noProof/>
                <w:webHidden/>
                <w:color w:val="000000" w:themeColor="text1"/>
              </w:rPr>
              <w:fldChar w:fldCharType="separate"/>
            </w:r>
            <w:r w:rsidRPr="00793CD4">
              <w:rPr>
                <w:noProof/>
                <w:webHidden/>
                <w:color w:val="000000" w:themeColor="text1"/>
              </w:rPr>
              <w:t>6</w:t>
            </w:r>
            <w:r w:rsidRPr="00793CD4">
              <w:rPr>
                <w:noProof/>
                <w:webHidden/>
                <w:color w:val="000000" w:themeColor="text1"/>
              </w:rPr>
              <w:fldChar w:fldCharType="end"/>
            </w:r>
          </w:hyperlink>
        </w:p>
        <w:p w14:paraId="3633DF99" w14:textId="6C7EA74E" w:rsidR="00793CD4" w:rsidRPr="00793CD4" w:rsidRDefault="00793CD4">
          <w:pPr>
            <w:pStyle w:val="TOC2"/>
            <w:tabs>
              <w:tab w:val="right" w:leader="dot" w:pos="9016"/>
            </w:tabs>
            <w:rPr>
              <w:rFonts w:eastAsiaTheme="minorEastAsia"/>
              <w:noProof/>
              <w:color w:val="000000" w:themeColor="text1"/>
              <w:lang w:eastAsia="en-GB"/>
            </w:rPr>
          </w:pPr>
          <w:hyperlink w:anchor="_Toc54775508" w:history="1">
            <w:r w:rsidRPr="00793CD4">
              <w:rPr>
                <w:rStyle w:val="Hyperlink"/>
                <w:noProof/>
                <w:color w:val="000000" w:themeColor="text1"/>
              </w:rPr>
              <w:t>5.2 Support for NQTs</w:t>
            </w:r>
            <w:r w:rsidRPr="00793CD4">
              <w:rPr>
                <w:noProof/>
                <w:webHidden/>
                <w:color w:val="000000" w:themeColor="text1"/>
              </w:rPr>
              <w:tab/>
            </w:r>
            <w:r w:rsidRPr="00793CD4">
              <w:rPr>
                <w:noProof/>
                <w:webHidden/>
                <w:color w:val="000000" w:themeColor="text1"/>
              </w:rPr>
              <w:fldChar w:fldCharType="begin"/>
            </w:r>
            <w:r w:rsidRPr="00793CD4">
              <w:rPr>
                <w:noProof/>
                <w:webHidden/>
                <w:color w:val="000000" w:themeColor="text1"/>
              </w:rPr>
              <w:instrText xml:space="preserve"> PAGEREF _Toc54775508 \h </w:instrText>
            </w:r>
            <w:r w:rsidRPr="00793CD4">
              <w:rPr>
                <w:noProof/>
                <w:webHidden/>
                <w:color w:val="000000" w:themeColor="text1"/>
              </w:rPr>
            </w:r>
            <w:r w:rsidRPr="00793CD4">
              <w:rPr>
                <w:noProof/>
                <w:webHidden/>
                <w:color w:val="000000" w:themeColor="text1"/>
              </w:rPr>
              <w:fldChar w:fldCharType="separate"/>
            </w:r>
            <w:r w:rsidRPr="00793CD4">
              <w:rPr>
                <w:noProof/>
                <w:webHidden/>
                <w:color w:val="000000" w:themeColor="text1"/>
              </w:rPr>
              <w:t>7</w:t>
            </w:r>
            <w:r w:rsidRPr="00793CD4">
              <w:rPr>
                <w:noProof/>
                <w:webHidden/>
                <w:color w:val="000000" w:themeColor="text1"/>
              </w:rPr>
              <w:fldChar w:fldCharType="end"/>
            </w:r>
          </w:hyperlink>
        </w:p>
        <w:p w14:paraId="7F15C4CC" w14:textId="20DDB880" w:rsidR="00793CD4" w:rsidRPr="00793CD4" w:rsidRDefault="00793CD4">
          <w:pPr>
            <w:pStyle w:val="TOC2"/>
            <w:tabs>
              <w:tab w:val="right" w:leader="dot" w:pos="9016"/>
            </w:tabs>
            <w:rPr>
              <w:rFonts w:eastAsiaTheme="minorEastAsia"/>
              <w:noProof/>
              <w:color w:val="000000" w:themeColor="text1"/>
              <w:lang w:eastAsia="en-GB"/>
            </w:rPr>
          </w:pPr>
          <w:hyperlink w:anchor="_Toc54775509" w:history="1">
            <w:r w:rsidRPr="00793CD4">
              <w:rPr>
                <w:rStyle w:val="Hyperlink"/>
                <w:noProof/>
                <w:color w:val="000000" w:themeColor="text1"/>
              </w:rPr>
              <w:t>5.3 Assessments of NQT Performance</w:t>
            </w:r>
            <w:r w:rsidRPr="00793CD4">
              <w:rPr>
                <w:noProof/>
                <w:webHidden/>
                <w:color w:val="000000" w:themeColor="text1"/>
              </w:rPr>
              <w:tab/>
            </w:r>
            <w:r w:rsidRPr="00793CD4">
              <w:rPr>
                <w:noProof/>
                <w:webHidden/>
                <w:color w:val="000000" w:themeColor="text1"/>
              </w:rPr>
              <w:fldChar w:fldCharType="begin"/>
            </w:r>
            <w:r w:rsidRPr="00793CD4">
              <w:rPr>
                <w:noProof/>
                <w:webHidden/>
                <w:color w:val="000000" w:themeColor="text1"/>
              </w:rPr>
              <w:instrText xml:space="preserve"> PAGEREF _Toc54775509 \h </w:instrText>
            </w:r>
            <w:r w:rsidRPr="00793CD4">
              <w:rPr>
                <w:noProof/>
                <w:webHidden/>
                <w:color w:val="000000" w:themeColor="text1"/>
              </w:rPr>
            </w:r>
            <w:r w:rsidRPr="00793CD4">
              <w:rPr>
                <w:noProof/>
                <w:webHidden/>
                <w:color w:val="000000" w:themeColor="text1"/>
              </w:rPr>
              <w:fldChar w:fldCharType="separate"/>
            </w:r>
            <w:r w:rsidRPr="00793CD4">
              <w:rPr>
                <w:noProof/>
                <w:webHidden/>
                <w:color w:val="000000" w:themeColor="text1"/>
              </w:rPr>
              <w:t>7</w:t>
            </w:r>
            <w:r w:rsidRPr="00793CD4">
              <w:rPr>
                <w:noProof/>
                <w:webHidden/>
                <w:color w:val="000000" w:themeColor="text1"/>
              </w:rPr>
              <w:fldChar w:fldCharType="end"/>
            </w:r>
          </w:hyperlink>
        </w:p>
        <w:p w14:paraId="012BCC9C" w14:textId="3C693A69" w:rsidR="00793CD4" w:rsidRPr="00793CD4" w:rsidRDefault="00793CD4">
          <w:pPr>
            <w:pStyle w:val="TOC2"/>
            <w:tabs>
              <w:tab w:val="right" w:leader="dot" w:pos="9016"/>
            </w:tabs>
            <w:rPr>
              <w:rFonts w:eastAsiaTheme="minorEastAsia"/>
              <w:noProof/>
              <w:color w:val="000000" w:themeColor="text1"/>
              <w:lang w:eastAsia="en-GB"/>
            </w:rPr>
          </w:pPr>
          <w:hyperlink w:anchor="_Toc54775510" w:history="1">
            <w:r w:rsidRPr="00793CD4">
              <w:rPr>
                <w:rStyle w:val="Hyperlink"/>
                <w:noProof/>
                <w:color w:val="000000" w:themeColor="text1"/>
              </w:rPr>
              <w:t>5.4 At-Risk Procedures</w:t>
            </w:r>
            <w:r w:rsidRPr="00793CD4">
              <w:rPr>
                <w:noProof/>
                <w:webHidden/>
                <w:color w:val="000000" w:themeColor="text1"/>
              </w:rPr>
              <w:tab/>
            </w:r>
            <w:r w:rsidRPr="00793CD4">
              <w:rPr>
                <w:noProof/>
                <w:webHidden/>
                <w:color w:val="000000" w:themeColor="text1"/>
              </w:rPr>
              <w:fldChar w:fldCharType="begin"/>
            </w:r>
            <w:r w:rsidRPr="00793CD4">
              <w:rPr>
                <w:noProof/>
                <w:webHidden/>
                <w:color w:val="000000" w:themeColor="text1"/>
              </w:rPr>
              <w:instrText xml:space="preserve"> PAGEREF _Toc54775510 \h </w:instrText>
            </w:r>
            <w:r w:rsidRPr="00793CD4">
              <w:rPr>
                <w:noProof/>
                <w:webHidden/>
                <w:color w:val="000000" w:themeColor="text1"/>
              </w:rPr>
            </w:r>
            <w:r w:rsidRPr="00793CD4">
              <w:rPr>
                <w:noProof/>
                <w:webHidden/>
                <w:color w:val="000000" w:themeColor="text1"/>
              </w:rPr>
              <w:fldChar w:fldCharType="separate"/>
            </w:r>
            <w:r w:rsidRPr="00793CD4">
              <w:rPr>
                <w:noProof/>
                <w:webHidden/>
                <w:color w:val="000000" w:themeColor="text1"/>
              </w:rPr>
              <w:t>7</w:t>
            </w:r>
            <w:r w:rsidRPr="00793CD4">
              <w:rPr>
                <w:noProof/>
                <w:webHidden/>
                <w:color w:val="000000" w:themeColor="text1"/>
              </w:rPr>
              <w:fldChar w:fldCharType="end"/>
            </w:r>
          </w:hyperlink>
        </w:p>
        <w:p w14:paraId="085531F3" w14:textId="52A52FEE" w:rsidR="00793CD4" w:rsidRPr="00793CD4" w:rsidRDefault="00793CD4">
          <w:pPr>
            <w:pStyle w:val="TOC1"/>
            <w:tabs>
              <w:tab w:val="right" w:leader="dot" w:pos="9016"/>
            </w:tabs>
            <w:rPr>
              <w:rFonts w:eastAsiaTheme="minorEastAsia"/>
              <w:noProof/>
              <w:color w:val="000000" w:themeColor="text1"/>
              <w:lang w:eastAsia="en-GB"/>
            </w:rPr>
          </w:pPr>
          <w:hyperlink w:anchor="_Toc54775511" w:history="1">
            <w:r w:rsidRPr="00793CD4">
              <w:rPr>
                <w:rStyle w:val="Hyperlink"/>
                <w:noProof/>
                <w:color w:val="000000" w:themeColor="text1"/>
              </w:rPr>
              <w:t>6. Monitoring arrangements</w:t>
            </w:r>
            <w:r w:rsidRPr="00793CD4">
              <w:rPr>
                <w:noProof/>
                <w:webHidden/>
                <w:color w:val="000000" w:themeColor="text1"/>
              </w:rPr>
              <w:tab/>
            </w:r>
            <w:r w:rsidRPr="00793CD4">
              <w:rPr>
                <w:noProof/>
                <w:webHidden/>
                <w:color w:val="000000" w:themeColor="text1"/>
              </w:rPr>
              <w:fldChar w:fldCharType="begin"/>
            </w:r>
            <w:r w:rsidRPr="00793CD4">
              <w:rPr>
                <w:noProof/>
                <w:webHidden/>
                <w:color w:val="000000" w:themeColor="text1"/>
              </w:rPr>
              <w:instrText xml:space="preserve"> PAGEREF _Toc54775511 \h </w:instrText>
            </w:r>
            <w:r w:rsidRPr="00793CD4">
              <w:rPr>
                <w:noProof/>
                <w:webHidden/>
                <w:color w:val="000000" w:themeColor="text1"/>
              </w:rPr>
            </w:r>
            <w:r w:rsidRPr="00793CD4">
              <w:rPr>
                <w:noProof/>
                <w:webHidden/>
                <w:color w:val="000000" w:themeColor="text1"/>
              </w:rPr>
              <w:fldChar w:fldCharType="separate"/>
            </w:r>
            <w:r w:rsidRPr="00793CD4">
              <w:rPr>
                <w:noProof/>
                <w:webHidden/>
                <w:color w:val="000000" w:themeColor="text1"/>
              </w:rPr>
              <w:t>8</w:t>
            </w:r>
            <w:r w:rsidRPr="00793CD4">
              <w:rPr>
                <w:noProof/>
                <w:webHidden/>
                <w:color w:val="000000" w:themeColor="text1"/>
              </w:rPr>
              <w:fldChar w:fldCharType="end"/>
            </w:r>
          </w:hyperlink>
        </w:p>
        <w:p w14:paraId="4769F060" w14:textId="748E11DA" w:rsidR="00793CD4" w:rsidRPr="00793CD4" w:rsidRDefault="00793CD4">
          <w:pPr>
            <w:pStyle w:val="TOC1"/>
            <w:tabs>
              <w:tab w:val="right" w:leader="dot" w:pos="9016"/>
            </w:tabs>
            <w:rPr>
              <w:rFonts w:eastAsiaTheme="minorEastAsia"/>
              <w:noProof/>
              <w:color w:val="000000" w:themeColor="text1"/>
              <w:lang w:eastAsia="en-GB"/>
            </w:rPr>
          </w:pPr>
          <w:hyperlink w:anchor="_Toc54775512" w:history="1">
            <w:r w:rsidRPr="00793CD4">
              <w:rPr>
                <w:rStyle w:val="Hyperlink"/>
                <w:noProof/>
                <w:color w:val="000000" w:themeColor="text1"/>
              </w:rPr>
              <w:t>7. Links with other policies</w:t>
            </w:r>
            <w:r w:rsidRPr="00793CD4">
              <w:rPr>
                <w:noProof/>
                <w:webHidden/>
                <w:color w:val="000000" w:themeColor="text1"/>
              </w:rPr>
              <w:tab/>
            </w:r>
            <w:r w:rsidRPr="00793CD4">
              <w:rPr>
                <w:noProof/>
                <w:webHidden/>
                <w:color w:val="000000" w:themeColor="text1"/>
              </w:rPr>
              <w:fldChar w:fldCharType="begin"/>
            </w:r>
            <w:r w:rsidRPr="00793CD4">
              <w:rPr>
                <w:noProof/>
                <w:webHidden/>
                <w:color w:val="000000" w:themeColor="text1"/>
              </w:rPr>
              <w:instrText xml:space="preserve"> PAGEREF _Toc54775512 \h </w:instrText>
            </w:r>
            <w:r w:rsidRPr="00793CD4">
              <w:rPr>
                <w:noProof/>
                <w:webHidden/>
                <w:color w:val="000000" w:themeColor="text1"/>
              </w:rPr>
            </w:r>
            <w:r w:rsidRPr="00793CD4">
              <w:rPr>
                <w:noProof/>
                <w:webHidden/>
                <w:color w:val="000000" w:themeColor="text1"/>
              </w:rPr>
              <w:fldChar w:fldCharType="separate"/>
            </w:r>
            <w:r w:rsidRPr="00793CD4">
              <w:rPr>
                <w:noProof/>
                <w:webHidden/>
                <w:color w:val="000000" w:themeColor="text1"/>
              </w:rPr>
              <w:t>8</w:t>
            </w:r>
            <w:r w:rsidRPr="00793CD4">
              <w:rPr>
                <w:noProof/>
                <w:webHidden/>
                <w:color w:val="000000" w:themeColor="text1"/>
              </w:rPr>
              <w:fldChar w:fldCharType="end"/>
            </w:r>
          </w:hyperlink>
        </w:p>
        <w:p w14:paraId="46376196" w14:textId="1E9C77D5" w:rsidR="00793CD4" w:rsidRPr="00793CD4" w:rsidRDefault="00793CD4">
          <w:pPr>
            <w:pStyle w:val="TOC1"/>
            <w:tabs>
              <w:tab w:val="right" w:leader="dot" w:pos="9016"/>
            </w:tabs>
            <w:rPr>
              <w:rFonts w:eastAsiaTheme="minorEastAsia"/>
              <w:noProof/>
              <w:color w:val="000000" w:themeColor="text1"/>
              <w:lang w:eastAsia="en-GB"/>
            </w:rPr>
          </w:pPr>
          <w:hyperlink w:anchor="_Toc54775513" w:history="1">
            <w:r w:rsidRPr="00793CD4">
              <w:rPr>
                <w:rStyle w:val="Hyperlink"/>
                <w:noProof/>
                <w:color w:val="000000" w:themeColor="text1"/>
              </w:rPr>
              <w:t>8. Appendices</w:t>
            </w:r>
            <w:r w:rsidRPr="00793CD4">
              <w:rPr>
                <w:noProof/>
                <w:webHidden/>
                <w:color w:val="000000" w:themeColor="text1"/>
              </w:rPr>
              <w:tab/>
            </w:r>
            <w:r w:rsidRPr="00793CD4">
              <w:rPr>
                <w:noProof/>
                <w:webHidden/>
                <w:color w:val="000000" w:themeColor="text1"/>
              </w:rPr>
              <w:fldChar w:fldCharType="begin"/>
            </w:r>
            <w:r w:rsidRPr="00793CD4">
              <w:rPr>
                <w:noProof/>
                <w:webHidden/>
                <w:color w:val="000000" w:themeColor="text1"/>
              </w:rPr>
              <w:instrText xml:space="preserve"> PAGEREF _Toc54775513 \h </w:instrText>
            </w:r>
            <w:r w:rsidRPr="00793CD4">
              <w:rPr>
                <w:noProof/>
                <w:webHidden/>
                <w:color w:val="000000" w:themeColor="text1"/>
              </w:rPr>
            </w:r>
            <w:r w:rsidRPr="00793CD4">
              <w:rPr>
                <w:noProof/>
                <w:webHidden/>
                <w:color w:val="000000" w:themeColor="text1"/>
              </w:rPr>
              <w:fldChar w:fldCharType="separate"/>
            </w:r>
            <w:r w:rsidRPr="00793CD4">
              <w:rPr>
                <w:noProof/>
                <w:webHidden/>
                <w:color w:val="000000" w:themeColor="text1"/>
              </w:rPr>
              <w:t>8</w:t>
            </w:r>
            <w:r w:rsidRPr="00793CD4">
              <w:rPr>
                <w:noProof/>
                <w:webHidden/>
                <w:color w:val="000000" w:themeColor="text1"/>
              </w:rPr>
              <w:fldChar w:fldCharType="end"/>
            </w:r>
          </w:hyperlink>
        </w:p>
        <w:p w14:paraId="55A79D65" w14:textId="2CBEEF6C" w:rsidR="00793CD4" w:rsidRPr="00793CD4" w:rsidRDefault="00793CD4">
          <w:pPr>
            <w:pStyle w:val="TOC2"/>
            <w:tabs>
              <w:tab w:val="right" w:leader="dot" w:pos="9016"/>
            </w:tabs>
            <w:rPr>
              <w:rFonts w:eastAsiaTheme="minorEastAsia"/>
              <w:noProof/>
              <w:color w:val="000000" w:themeColor="text1"/>
              <w:lang w:eastAsia="en-GB"/>
            </w:rPr>
          </w:pPr>
          <w:hyperlink w:anchor="_Toc54775514" w:history="1">
            <w:r w:rsidRPr="00793CD4">
              <w:rPr>
                <w:rStyle w:val="Hyperlink"/>
                <w:noProof/>
                <w:color w:val="000000" w:themeColor="text1"/>
              </w:rPr>
              <w:t>8.1 COVID-19 Guidance</w:t>
            </w:r>
            <w:r w:rsidRPr="00793CD4">
              <w:rPr>
                <w:noProof/>
                <w:webHidden/>
                <w:color w:val="000000" w:themeColor="text1"/>
              </w:rPr>
              <w:tab/>
            </w:r>
            <w:r w:rsidRPr="00793CD4">
              <w:rPr>
                <w:noProof/>
                <w:webHidden/>
                <w:color w:val="000000" w:themeColor="text1"/>
              </w:rPr>
              <w:fldChar w:fldCharType="begin"/>
            </w:r>
            <w:r w:rsidRPr="00793CD4">
              <w:rPr>
                <w:noProof/>
                <w:webHidden/>
                <w:color w:val="000000" w:themeColor="text1"/>
              </w:rPr>
              <w:instrText xml:space="preserve"> PAGEREF _Toc54775514 \h </w:instrText>
            </w:r>
            <w:r w:rsidRPr="00793CD4">
              <w:rPr>
                <w:noProof/>
                <w:webHidden/>
                <w:color w:val="000000" w:themeColor="text1"/>
              </w:rPr>
            </w:r>
            <w:r w:rsidRPr="00793CD4">
              <w:rPr>
                <w:noProof/>
                <w:webHidden/>
                <w:color w:val="000000" w:themeColor="text1"/>
              </w:rPr>
              <w:fldChar w:fldCharType="separate"/>
            </w:r>
            <w:r w:rsidRPr="00793CD4">
              <w:rPr>
                <w:noProof/>
                <w:webHidden/>
                <w:color w:val="000000" w:themeColor="text1"/>
              </w:rPr>
              <w:t>8</w:t>
            </w:r>
            <w:r w:rsidRPr="00793CD4">
              <w:rPr>
                <w:noProof/>
                <w:webHidden/>
                <w:color w:val="000000" w:themeColor="text1"/>
              </w:rPr>
              <w:fldChar w:fldCharType="end"/>
            </w:r>
          </w:hyperlink>
        </w:p>
        <w:p w14:paraId="56F6BE0E" w14:textId="1A4E06BB" w:rsidR="0095773A" w:rsidRDefault="0095773A" w:rsidP="0095773A">
          <w:pPr>
            <w:pStyle w:val="Heading1"/>
            <w:rPr>
              <w:b/>
              <w:bCs/>
              <w:noProof/>
            </w:rPr>
          </w:pPr>
          <w:r>
            <w:rPr>
              <w:b/>
              <w:bCs/>
              <w:noProof/>
            </w:rPr>
            <w:fldChar w:fldCharType="end"/>
          </w:r>
        </w:p>
      </w:sdtContent>
    </w:sdt>
    <w:p w14:paraId="73189187" w14:textId="30CF3CD0" w:rsidR="001B4E5A" w:rsidRPr="001B4E5A" w:rsidRDefault="001B4E5A" w:rsidP="0095773A">
      <w:pPr>
        <w:pStyle w:val="Heading1"/>
        <w:rPr>
          <w:color w:val="C45911" w:themeColor="accent2" w:themeShade="BF"/>
        </w:rPr>
      </w:pPr>
      <w:bookmarkStart w:id="0" w:name="_Toc54775492"/>
      <w:r w:rsidRPr="001B4E5A">
        <w:rPr>
          <w:color w:val="C45911" w:themeColor="accent2" w:themeShade="BF"/>
        </w:rPr>
        <w:t>Abbreviations</w:t>
      </w:r>
      <w:bookmarkEnd w:id="0"/>
    </w:p>
    <w:p w14:paraId="59E6A354" w14:textId="13D83619" w:rsidR="001B4E5A" w:rsidRDefault="001B4E5A" w:rsidP="001B4E5A">
      <w:r>
        <w:t>NQT – Newly Qualified Teacher</w:t>
      </w:r>
    </w:p>
    <w:p w14:paraId="68A016C6" w14:textId="0E695A11" w:rsidR="001B4E5A" w:rsidRPr="001B4E5A" w:rsidRDefault="001B4E5A" w:rsidP="001B4E5A">
      <w:r>
        <w:t>QTS – Qualified Teacher Status</w:t>
      </w:r>
    </w:p>
    <w:p w14:paraId="1B05F269" w14:textId="67DB441C" w:rsidR="002C4C9D" w:rsidRPr="0091454C" w:rsidRDefault="00B84AF4" w:rsidP="00B84AF4">
      <w:pPr>
        <w:pStyle w:val="Heading1"/>
        <w:rPr>
          <w:color w:val="C45911" w:themeColor="accent2" w:themeShade="BF"/>
        </w:rPr>
      </w:pPr>
      <w:bookmarkStart w:id="1" w:name="_Toc54775493"/>
      <w:r w:rsidRPr="00B84AF4">
        <w:rPr>
          <w:color w:val="C45911" w:themeColor="accent2" w:themeShade="BF"/>
        </w:rPr>
        <w:t>1.</w:t>
      </w:r>
      <w:r>
        <w:rPr>
          <w:color w:val="C45911" w:themeColor="accent2" w:themeShade="BF"/>
        </w:rPr>
        <w:t xml:space="preserve"> </w:t>
      </w:r>
      <w:r w:rsidR="002C4C9D" w:rsidRPr="0091454C">
        <w:rPr>
          <w:color w:val="C45911" w:themeColor="accent2" w:themeShade="BF"/>
        </w:rPr>
        <w:t>Rationale</w:t>
      </w:r>
      <w:bookmarkEnd w:id="1"/>
    </w:p>
    <w:p w14:paraId="4E7326CC" w14:textId="62A0C494" w:rsidR="002C4C9D" w:rsidRDefault="002C4C9D" w:rsidP="002C4C9D">
      <w:r>
        <w:t>Wrotham School’s NQT induction process ensures the appropriate guidance, support and training are available to NQTs to ensure the development of skills, knowledge, expectations, and observations.  This is provided through a structured yet flexible individual programme of training.</w:t>
      </w:r>
    </w:p>
    <w:p w14:paraId="0F1CED7C" w14:textId="7E220563" w:rsidR="002C4C9D" w:rsidRDefault="002C4C9D" w:rsidP="002C4C9D">
      <w:r>
        <w:t>The programme will ensure that NQTs form a secure foundation upon which they can build a successful teaching career.</w:t>
      </w:r>
    </w:p>
    <w:p w14:paraId="7A359F5F" w14:textId="5B254EA2" w:rsidR="007A2E20" w:rsidRPr="007A2E20" w:rsidRDefault="007A2E20" w:rsidP="002C4C9D">
      <w:r>
        <w:rPr>
          <w:b/>
          <w:bCs/>
          <w:i/>
          <w:iCs/>
        </w:rPr>
        <w:lastRenderedPageBreak/>
        <w:t xml:space="preserve">NOTE: </w:t>
      </w:r>
      <w:r>
        <w:t>Due to the COVID-19 pandemic, there may be adjustments to the NQT induction process.  See Appendix 1 for additional guidance.</w:t>
      </w:r>
    </w:p>
    <w:p w14:paraId="6982F29C" w14:textId="7EFC67AD" w:rsidR="00C079DC" w:rsidRPr="00C079DC" w:rsidRDefault="00B84AF4" w:rsidP="00C079DC">
      <w:pPr>
        <w:pStyle w:val="Heading1"/>
        <w:rPr>
          <w:color w:val="C45911" w:themeColor="accent2" w:themeShade="BF"/>
        </w:rPr>
      </w:pPr>
      <w:bookmarkStart w:id="2" w:name="_Toc25836417"/>
      <w:bookmarkStart w:id="3" w:name="_Toc54775494"/>
      <w:r>
        <w:rPr>
          <w:color w:val="C45911" w:themeColor="accent2" w:themeShade="BF"/>
        </w:rPr>
        <w:t xml:space="preserve">2. </w:t>
      </w:r>
      <w:r w:rsidR="00C079DC" w:rsidRPr="00C079DC">
        <w:rPr>
          <w:color w:val="C45911" w:themeColor="accent2" w:themeShade="BF"/>
        </w:rPr>
        <w:t>Legislation and statutory guidance</w:t>
      </w:r>
      <w:bookmarkEnd w:id="2"/>
      <w:bookmarkEnd w:id="3"/>
    </w:p>
    <w:p w14:paraId="5FA23DAF" w14:textId="77777777" w:rsidR="00C079DC" w:rsidRPr="00C079DC" w:rsidRDefault="00C079DC" w:rsidP="00C079DC">
      <w:pPr>
        <w:pStyle w:val="1bodycopy10pt"/>
        <w:rPr>
          <w:rFonts w:asciiTheme="minorHAnsi" w:hAnsiTheme="minorHAnsi" w:cstheme="minorHAnsi"/>
          <w:sz w:val="22"/>
          <w:szCs w:val="28"/>
        </w:rPr>
      </w:pPr>
      <w:r w:rsidRPr="00C079DC">
        <w:rPr>
          <w:rFonts w:asciiTheme="minorHAnsi" w:hAnsiTheme="minorHAnsi" w:cstheme="minorHAnsi"/>
          <w:sz w:val="22"/>
          <w:szCs w:val="28"/>
        </w:rPr>
        <w:t xml:space="preserve">This policy is based on the Department for Education’s statutory guidance </w:t>
      </w:r>
      <w:hyperlink r:id="rId9" w:history="1">
        <w:r w:rsidRPr="00C079DC">
          <w:rPr>
            <w:rStyle w:val="Hyperlink"/>
            <w:rFonts w:asciiTheme="minorHAnsi" w:hAnsiTheme="minorHAnsi" w:cstheme="minorHAnsi"/>
            <w:sz w:val="22"/>
            <w:szCs w:val="28"/>
          </w:rPr>
          <w:t>Induction for Newly Qualified Teachers (England)</w:t>
        </w:r>
      </w:hyperlink>
      <w:r w:rsidRPr="00C079DC">
        <w:rPr>
          <w:rFonts w:asciiTheme="minorHAnsi" w:hAnsiTheme="minorHAnsi" w:cstheme="minorHAnsi"/>
          <w:sz w:val="22"/>
          <w:szCs w:val="28"/>
        </w:rPr>
        <w:t xml:space="preserve"> and </w:t>
      </w:r>
      <w:hyperlink r:id="rId10" w:history="1">
        <w:r w:rsidRPr="00C079DC">
          <w:rPr>
            <w:rStyle w:val="Hyperlink"/>
            <w:rFonts w:asciiTheme="minorHAnsi" w:hAnsiTheme="minorHAnsi" w:cstheme="minorHAnsi"/>
            <w:sz w:val="22"/>
            <w:szCs w:val="28"/>
          </w:rPr>
          <w:t>The Education (Induction Arrangements for School Teachers) (England) Regulations 2012</w:t>
        </w:r>
      </w:hyperlink>
      <w:r w:rsidRPr="00C079DC">
        <w:rPr>
          <w:rFonts w:asciiTheme="minorHAnsi" w:hAnsiTheme="minorHAnsi" w:cstheme="minorHAnsi"/>
          <w:sz w:val="22"/>
          <w:szCs w:val="28"/>
        </w:rPr>
        <w:t>.</w:t>
      </w:r>
    </w:p>
    <w:p w14:paraId="6E255BCE" w14:textId="443C1FB8" w:rsidR="00C079DC" w:rsidRPr="00C079DC" w:rsidRDefault="00C079DC" w:rsidP="00C079DC">
      <w:pPr>
        <w:pStyle w:val="1bodycopy10pt"/>
        <w:rPr>
          <w:rFonts w:asciiTheme="minorHAnsi" w:hAnsiTheme="minorHAnsi" w:cstheme="minorHAnsi"/>
          <w:sz w:val="22"/>
          <w:szCs w:val="28"/>
        </w:rPr>
      </w:pPr>
      <w:r w:rsidRPr="00C079DC">
        <w:rPr>
          <w:rFonts w:asciiTheme="minorHAnsi" w:hAnsiTheme="minorHAnsi" w:cstheme="minorHAnsi"/>
          <w:sz w:val="22"/>
          <w:szCs w:val="28"/>
        </w:rPr>
        <w:t xml:space="preserve">The ‘standards’ referred to throughout this document are the </w:t>
      </w:r>
      <w:hyperlink r:id="rId11" w:history="1">
        <w:r w:rsidRPr="00C079DC">
          <w:rPr>
            <w:rStyle w:val="Hyperlink"/>
            <w:rFonts w:asciiTheme="minorHAnsi" w:hAnsiTheme="minorHAnsi" w:cstheme="minorHAnsi"/>
            <w:sz w:val="22"/>
            <w:szCs w:val="28"/>
          </w:rPr>
          <w:t>Teachers’ Standards</w:t>
        </w:r>
      </w:hyperlink>
      <w:r w:rsidR="00FA3B40">
        <w:rPr>
          <w:rFonts w:asciiTheme="minorHAnsi" w:hAnsiTheme="minorHAnsi" w:cstheme="minorHAnsi"/>
          <w:sz w:val="22"/>
          <w:szCs w:val="28"/>
        </w:rPr>
        <w:t>.</w:t>
      </w:r>
    </w:p>
    <w:p w14:paraId="2A6B9FF6" w14:textId="3F78C87D" w:rsidR="00E94911" w:rsidRPr="0091454C" w:rsidRDefault="00B84AF4" w:rsidP="00E94911">
      <w:pPr>
        <w:pStyle w:val="Heading1"/>
        <w:rPr>
          <w:color w:val="C45911" w:themeColor="accent2" w:themeShade="BF"/>
        </w:rPr>
      </w:pPr>
      <w:bookmarkStart w:id="4" w:name="_Toc54775495"/>
      <w:r>
        <w:rPr>
          <w:color w:val="C45911" w:themeColor="accent2" w:themeShade="BF"/>
        </w:rPr>
        <w:t xml:space="preserve">3. </w:t>
      </w:r>
      <w:r w:rsidR="00E94911" w:rsidRPr="0091454C">
        <w:rPr>
          <w:color w:val="C45911" w:themeColor="accent2" w:themeShade="BF"/>
        </w:rPr>
        <w:t>Purposes</w:t>
      </w:r>
      <w:bookmarkEnd w:id="4"/>
    </w:p>
    <w:p w14:paraId="30D71E80" w14:textId="4E5CBA36" w:rsidR="00E94911" w:rsidRDefault="00E94911" w:rsidP="00E94911">
      <w:r>
        <w:t>Wrotham School’s induction process has been designed to make a significant contribution to both the personal and professional development of NQTs.</w:t>
      </w:r>
    </w:p>
    <w:p w14:paraId="56607811" w14:textId="47D1C720" w:rsidR="00E94911" w:rsidRDefault="00E94911" w:rsidP="00E94911">
      <w:pPr>
        <w:pStyle w:val="ListParagraph"/>
        <w:numPr>
          <w:ilvl w:val="0"/>
          <w:numId w:val="1"/>
        </w:numPr>
      </w:pPr>
      <w:r>
        <w:t xml:space="preserve">To provide programmes appropriate for the individual needs of each NQT through the completion of the Career Entry and Development Profile and frequent review of performance against the </w:t>
      </w:r>
      <w:r w:rsidR="007A2E20">
        <w:t>relevant standards</w:t>
      </w:r>
      <w:r>
        <w:t>;</w:t>
      </w:r>
    </w:p>
    <w:p w14:paraId="3DC6110D" w14:textId="07896571" w:rsidR="00E94911" w:rsidRDefault="00E94911" w:rsidP="00E94911">
      <w:pPr>
        <w:pStyle w:val="ListParagraph"/>
        <w:numPr>
          <w:ilvl w:val="0"/>
          <w:numId w:val="1"/>
        </w:numPr>
      </w:pPr>
      <w:r>
        <w:t xml:space="preserve">To provide guidance and support to enable NQTs to meet the </w:t>
      </w:r>
      <w:r w:rsidR="007A2E20">
        <w:t>relevant standards</w:t>
      </w:r>
      <w:r>
        <w:t xml:space="preserve"> by the end of their induction year;</w:t>
      </w:r>
    </w:p>
    <w:p w14:paraId="1595133D" w14:textId="364DFB67" w:rsidR="00E94911" w:rsidRDefault="00E94911" w:rsidP="00E94911">
      <w:pPr>
        <w:pStyle w:val="ListParagraph"/>
        <w:numPr>
          <w:ilvl w:val="0"/>
          <w:numId w:val="1"/>
        </w:numPr>
      </w:pPr>
      <w:r>
        <w:t>To provide appropriate action planning, reviewing, monitoring and support through the role of an identified mentor;</w:t>
      </w:r>
    </w:p>
    <w:p w14:paraId="68B26AFE" w14:textId="3836CB19" w:rsidR="00E94911" w:rsidRDefault="00E94911" w:rsidP="00E94911">
      <w:pPr>
        <w:pStyle w:val="ListParagraph"/>
        <w:numPr>
          <w:ilvl w:val="0"/>
          <w:numId w:val="1"/>
        </w:numPr>
      </w:pPr>
      <w:r>
        <w:t>To provide NQTs with examples of good practice both within school and at other schools (in particular other schools within the Trust);</w:t>
      </w:r>
    </w:p>
    <w:p w14:paraId="291A5D3E" w14:textId="41ACDC01" w:rsidR="00E94911" w:rsidRDefault="00E94911" w:rsidP="00E94911">
      <w:pPr>
        <w:pStyle w:val="ListParagraph"/>
        <w:numPr>
          <w:ilvl w:val="0"/>
          <w:numId w:val="1"/>
        </w:numPr>
      </w:pPr>
      <w:r>
        <w:t>To help NQTs form good relationships with all members of the school community and stakeholders;</w:t>
      </w:r>
    </w:p>
    <w:p w14:paraId="1F80F3D9" w14:textId="20C8EC53" w:rsidR="00E94911" w:rsidRDefault="00E94911" w:rsidP="00E94911">
      <w:pPr>
        <w:pStyle w:val="ListParagraph"/>
        <w:numPr>
          <w:ilvl w:val="0"/>
          <w:numId w:val="1"/>
        </w:numPr>
      </w:pPr>
      <w:r>
        <w:t>To help NQTs become aware of the school’s role in the local community;</w:t>
      </w:r>
    </w:p>
    <w:p w14:paraId="571EF8CE" w14:textId="1D9A02F3" w:rsidR="00E94911" w:rsidRDefault="00E94911" w:rsidP="00E94911">
      <w:pPr>
        <w:pStyle w:val="ListParagraph"/>
        <w:numPr>
          <w:ilvl w:val="0"/>
          <w:numId w:val="1"/>
        </w:numPr>
      </w:pPr>
      <w:r>
        <w:t>To ensure reflection on their own and observed practice;</w:t>
      </w:r>
    </w:p>
    <w:p w14:paraId="386FF20E" w14:textId="02CE4AFA" w:rsidR="00E94911" w:rsidRDefault="00E94911" w:rsidP="00E94911">
      <w:pPr>
        <w:pStyle w:val="ListParagraph"/>
        <w:numPr>
          <w:ilvl w:val="0"/>
          <w:numId w:val="1"/>
        </w:numPr>
      </w:pPr>
      <w:r>
        <w:t>To provide opportunities to identify areas for development and to form action plans to meet identified targets.</w:t>
      </w:r>
    </w:p>
    <w:p w14:paraId="3F1F0B2C" w14:textId="0C4EB63F" w:rsidR="00E94911" w:rsidRDefault="0091454C" w:rsidP="00E94911">
      <w:r>
        <w:t>This policy reflects a structured whole school approach to teacher induction and recognises that the quality and commitment of the people supervising the induction is a crucial factor in its continued success.</w:t>
      </w:r>
    </w:p>
    <w:p w14:paraId="548B4B18" w14:textId="5D6261C1" w:rsidR="0091454C" w:rsidRPr="0091454C" w:rsidRDefault="00B84AF4" w:rsidP="0091454C">
      <w:pPr>
        <w:pStyle w:val="Heading1"/>
        <w:rPr>
          <w:color w:val="C45911" w:themeColor="accent2" w:themeShade="BF"/>
        </w:rPr>
      </w:pPr>
      <w:bookmarkStart w:id="5" w:name="_Toc54775496"/>
      <w:r>
        <w:rPr>
          <w:color w:val="C45911" w:themeColor="accent2" w:themeShade="BF"/>
        </w:rPr>
        <w:t xml:space="preserve">4. </w:t>
      </w:r>
      <w:r w:rsidR="0091454C" w:rsidRPr="0091454C">
        <w:rPr>
          <w:color w:val="C45911" w:themeColor="accent2" w:themeShade="BF"/>
        </w:rPr>
        <w:t>Roles and Responsibilities</w:t>
      </w:r>
      <w:bookmarkEnd w:id="5"/>
    </w:p>
    <w:p w14:paraId="2D331731" w14:textId="45AB1D72" w:rsidR="0091454C" w:rsidRPr="0091454C" w:rsidRDefault="00B84AF4" w:rsidP="0091454C">
      <w:pPr>
        <w:pStyle w:val="Heading2"/>
        <w:rPr>
          <w:color w:val="C45911" w:themeColor="accent2" w:themeShade="BF"/>
        </w:rPr>
      </w:pPr>
      <w:bookmarkStart w:id="6" w:name="_Toc54775497"/>
      <w:r>
        <w:rPr>
          <w:color w:val="C45911" w:themeColor="accent2" w:themeShade="BF"/>
        </w:rPr>
        <w:t xml:space="preserve">4.1 </w:t>
      </w:r>
      <w:r w:rsidR="0091454C" w:rsidRPr="0091454C">
        <w:rPr>
          <w:color w:val="C45911" w:themeColor="accent2" w:themeShade="BF"/>
        </w:rPr>
        <w:t>The Governing Body</w:t>
      </w:r>
      <w:bookmarkEnd w:id="6"/>
    </w:p>
    <w:p w14:paraId="2BB9C7A5" w14:textId="67297ECA" w:rsidR="0091454C" w:rsidRDefault="0091454C" w:rsidP="0091454C">
      <w:r>
        <w:t xml:space="preserve">The Governing Body will be fully aware of the contents of </w:t>
      </w:r>
      <w:hyperlink r:id="rId12" w:history="1">
        <w:r w:rsidR="00FA3B40" w:rsidRPr="00C079DC">
          <w:rPr>
            <w:rStyle w:val="Hyperlink"/>
            <w:rFonts w:cstheme="minorHAnsi"/>
            <w:szCs w:val="28"/>
          </w:rPr>
          <w:t>Induction for Newly Qualified Teachers (England)</w:t>
        </w:r>
      </w:hyperlink>
      <w:r w:rsidR="00FA3B40" w:rsidRPr="00C079DC">
        <w:rPr>
          <w:rFonts w:cstheme="minorHAnsi"/>
          <w:szCs w:val="28"/>
        </w:rPr>
        <w:t xml:space="preserve"> and </w:t>
      </w:r>
      <w:hyperlink r:id="rId13" w:history="1">
        <w:r w:rsidR="00FA3B40" w:rsidRPr="00C079DC">
          <w:rPr>
            <w:rStyle w:val="Hyperlink"/>
            <w:rFonts w:cstheme="minorHAnsi"/>
            <w:szCs w:val="28"/>
          </w:rPr>
          <w:t>The Education (Induction Arrangements for School Teachers) (England) Regulations 2012</w:t>
        </w:r>
      </w:hyperlink>
      <w:r w:rsidR="006650DD">
        <w:rPr>
          <w:rFonts w:cstheme="minorHAnsi"/>
          <w:szCs w:val="28"/>
        </w:rPr>
        <w:t xml:space="preserve"> </w:t>
      </w:r>
      <w:r>
        <w:t>which set out the school’s responsibility to provide the necessary mentoring, support and assessment for NQTs.  Careful consideration is given, prior to any decision to appoint an NQT, whether the school currently has the capacity to fulfil all its obligations.  The Governing Body will be kept aware and up to date of induction arrangements.</w:t>
      </w:r>
    </w:p>
    <w:p w14:paraId="6D715F1F" w14:textId="302A9E8C" w:rsidR="0091454C" w:rsidRDefault="0091454C" w:rsidP="0091454C">
      <w:r>
        <w:t xml:space="preserve">The Governing Body will seek guidance from </w:t>
      </w:r>
      <w:r w:rsidR="00FA3B40">
        <w:t>Kent Teach</w:t>
      </w:r>
      <w:r>
        <w:t xml:space="preserve"> if necessary.</w:t>
      </w:r>
    </w:p>
    <w:p w14:paraId="3DAB1EE0" w14:textId="38E1754C" w:rsidR="0091454C" w:rsidRPr="0091454C" w:rsidRDefault="00B84AF4" w:rsidP="0091454C">
      <w:pPr>
        <w:pStyle w:val="Heading2"/>
        <w:rPr>
          <w:color w:val="C45911" w:themeColor="accent2" w:themeShade="BF"/>
        </w:rPr>
      </w:pPr>
      <w:bookmarkStart w:id="7" w:name="_Toc54775498"/>
      <w:r>
        <w:rPr>
          <w:color w:val="C45911" w:themeColor="accent2" w:themeShade="BF"/>
        </w:rPr>
        <w:t xml:space="preserve">4.2 </w:t>
      </w:r>
      <w:r w:rsidR="0091454C" w:rsidRPr="0091454C">
        <w:rPr>
          <w:color w:val="C45911" w:themeColor="accent2" w:themeShade="BF"/>
        </w:rPr>
        <w:t>The Headteacher</w:t>
      </w:r>
      <w:r w:rsidR="00637C60">
        <w:rPr>
          <w:color w:val="C45911" w:themeColor="accent2" w:themeShade="BF"/>
        </w:rPr>
        <w:t>/SLT</w:t>
      </w:r>
      <w:bookmarkEnd w:id="7"/>
    </w:p>
    <w:p w14:paraId="63457A0C" w14:textId="1A01F361" w:rsidR="00637C60" w:rsidRDefault="0091454C" w:rsidP="0091454C">
      <w:r>
        <w:t xml:space="preserve">The headteacher at Wrotham School plays a significant and leading role in the process of inducting NQTs into the profession.  While the implementation of the Induction Programme will be led by the </w:t>
      </w:r>
      <w:r w:rsidR="001D02FB">
        <w:t>Teacher Training Coordinator</w:t>
      </w:r>
      <w:r w:rsidR="00637C60">
        <w:t xml:space="preserve">, who oversees individual induction, an identified member of the Senior </w:t>
      </w:r>
      <w:r w:rsidR="00637C60">
        <w:lastRenderedPageBreak/>
        <w:t>Leadership Team (Teacher Training Lead) will also observe each NQT early in the academic year.  Statutory responsibilities are to:</w:t>
      </w:r>
    </w:p>
    <w:p w14:paraId="35253059" w14:textId="3544693C" w:rsidR="0091454C" w:rsidRDefault="00637C60" w:rsidP="00637C60">
      <w:pPr>
        <w:pStyle w:val="ListParagraph"/>
        <w:numPr>
          <w:ilvl w:val="0"/>
          <w:numId w:val="2"/>
        </w:numPr>
      </w:pPr>
      <w:r>
        <w:t>Clarify whether the teacher needs to serve an induction period or is exempt;</w:t>
      </w:r>
    </w:p>
    <w:p w14:paraId="1C85F871" w14:textId="4A776A3D" w:rsidR="00637C60" w:rsidRDefault="00637C60" w:rsidP="00637C60">
      <w:pPr>
        <w:pStyle w:val="ListParagraph"/>
        <w:numPr>
          <w:ilvl w:val="0"/>
          <w:numId w:val="2"/>
        </w:numPr>
      </w:pPr>
      <w:r>
        <w:t xml:space="preserve">Notify </w:t>
      </w:r>
      <w:r w:rsidR="00FA3B40">
        <w:t>Kent Teach</w:t>
      </w:r>
      <w:r>
        <w:t xml:space="preserve"> when an NQT who is taking up a post in which they will be undertaking induction joins Wrotham school, before the appointment begins;</w:t>
      </w:r>
    </w:p>
    <w:p w14:paraId="6CC6EAA6" w14:textId="216BB2EC" w:rsidR="00637C60" w:rsidRDefault="00637C60" w:rsidP="00637C60">
      <w:pPr>
        <w:pStyle w:val="ListParagraph"/>
        <w:numPr>
          <w:ilvl w:val="0"/>
          <w:numId w:val="2"/>
        </w:numPr>
      </w:pPr>
      <w:r>
        <w:t>Ensure that the NQT’s post is suitable for them to serve induction;</w:t>
      </w:r>
    </w:p>
    <w:p w14:paraId="3BBBDC71" w14:textId="0EA44DD2" w:rsidR="00637C60" w:rsidRDefault="00637C60" w:rsidP="00637C60">
      <w:pPr>
        <w:pStyle w:val="ListParagraph"/>
        <w:numPr>
          <w:ilvl w:val="0"/>
          <w:numId w:val="2"/>
        </w:numPr>
      </w:pPr>
      <w:r>
        <w:t>Ensure that an appropriate induction programme is in place;</w:t>
      </w:r>
    </w:p>
    <w:p w14:paraId="0CC3279E" w14:textId="3D37C10C" w:rsidR="00637C60" w:rsidRDefault="00637C60" w:rsidP="00637C60">
      <w:pPr>
        <w:pStyle w:val="ListParagraph"/>
        <w:numPr>
          <w:ilvl w:val="0"/>
          <w:numId w:val="2"/>
        </w:numPr>
      </w:pPr>
      <w:r>
        <w:t xml:space="preserve">Ensure that the NQT has both a reduced timetable (10% NQT time) and </w:t>
      </w:r>
      <w:proofErr w:type="spellStart"/>
      <w:r>
        <w:t>PPA</w:t>
      </w:r>
      <w:proofErr w:type="spellEnd"/>
      <w:r>
        <w:t xml:space="preserve"> time as necessary; </w:t>
      </w:r>
    </w:p>
    <w:p w14:paraId="1EF5ADEC" w14:textId="56B02E36" w:rsidR="00637C60" w:rsidRDefault="00637C60" w:rsidP="00637C60">
      <w:pPr>
        <w:pStyle w:val="ListParagraph"/>
        <w:numPr>
          <w:ilvl w:val="0"/>
          <w:numId w:val="2"/>
        </w:numPr>
      </w:pPr>
      <w:r>
        <w:t>Where relevant, obtain documentation from the NQT’s previous post including any interim assessment and details of absences, and take this into account in determining the length and nature of the NQT’s induction programme and period;</w:t>
      </w:r>
    </w:p>
    <w:p w14:paraId="3FE9A7D5" w14:textId="548FAE88" w:rsidR="00637C60" w:rsidRDefault="00637C60" w:rsidP="00637C60">
      <w:pPr>
        <w:pStyle w:val="ListParagraph"/>
        <w:numPr>
          <w:ilvl w:val="0"/>
          <w:numId w:val="2"/>
        </w:numPr>
      </w:pPr>
      <w:r>
        <w:t xml:space="preserve">Appoint an induction mentor (who must hold QTS) and ensure that an appropriate cycle of observations, six progress reviews and three formal assessments is scheduled (ideally in advance) and takes place; </w:t>
      </w:r>
    </w:p>
    <w:p w14:paraId="27277571" w14:textId="7B069C7D" w:rsidR="00637C60" w:rsidRDefault="00637C60" w:rsidP="00637C60">
      <w:pPr>
        <w:pStyle w:val="ListParagraph"/>
        <w:numPr>
          <w:ilvl w:val="0"/>
          <w:numId w:val="2"/>
        </w:numPr>
      </w:pPr>
      <w:r>
        <w:t>Ensure that induction mentors are appropriately trained and have time to carry out their role;</w:t>
      </w:r>
    </w:p>
    <w:p w14:paraId="47AE6F2E" w14:textId="2B5B1E84" w:rsidR="00637C60" w:rsidRDefault="00637C60" w:rsidP="00637C60">
      <w:pPr>
        <w:pStyle w:val="ListParagraph"/>
        <w:numPr>
          <w:ilvl w:val="0"/>
          <w:numId w:val="2"/>
        </w:numPr>
      </w:pPr>
      <w:r>
        <w:t xml:space="preserve">Act early, alerting </w:t>
      </w:r>
      <w:r w:rsidR="00FA3B40">
        <w:t>Kent Teach</w:t>
      </w:r>
      <w:r>
        <w:t>, when necessary, in cases where an NQT may be at risk of not satisfactorily completing the induction;</w:t>
      </w:r>
    </w:p>
    <w:p w14:paraId="3CB70D42" w14:textId="4B026125" w:rsidR="00637C60" w:rsidRDefault="00637C60" w:rsidP="00637C60">
      <w:pPr>
        <w:pStyle w:val="ListParagraph"/>
        <w:numPr>
          <w:ilvl w:val="0"/>
          <w:numId w:val="2"/>
        </w:numPr>
      </w:pPr>
      <w:r>
        <w:t xml:space="preserve">Ensure third party observation of </w:t>
      </w:r>
      <w:proofErr w:type="gramStart"/>
      <w:r>
        <w:t>an  NQT</w:t>
      </w:r>
      <w:proofErr w:type="gramEnd"/>
      <w:r>
        <w:t xml:space="preserve">, particularly if progress towards meeting the </w:t>
      </w:r>
      <w:r w:rsidR="007A2E20">
        <w:t>relevant standards</w:t>
      </w:r>
      <w:r>
        <w:t xml:space="preserve"> may be at risk.</w:t>
      </w:r>
    </w:p>
    <w:p w14:paraId="5B003A62" w14:textId="4C417645" w:rsidR="00475904" w:rsidRDefault="00475904" w:rsidP="00637C60">
      <w:pPr>
        <w:pStyle w:val="ListParagraph"/>
        <w:numPr>
          <w:ilvl w:val="0"/>
          <w:numId w:val="2"/>
        </w:numPr>
      </w:pPr>
      <w:r>
        <w:t>Maintain accurate records of periods of employment that will count towards the induction period and when NQTs leave the school part way through a period;</w:t>
      </w:r>
    </w:p>
    <w:p w14:paraId="06630F35" w14:textId="74E2BA5C" w:rsidR="00475904" w:rsidRDefault="002A5DB5" w:rsidP="00637C60">
      <w:pPr>
        <w:pStyle w:val="ListParagraph"/>
        <w:numPr>
          <w:ilvl w:val="0"/>
          <w:numId w:val="2"/>
        </w:numPr>
      </w:pPr>
      <w:r>
        <w:t xml:space="preserve">Monitor absences and notify </w:t>
      </w:r>
      <w:r w:rsidR="00FA3B40">
        <w:t>Kent Teach</w:t>
      </w:r>
      <w:r>
        <w:t xml:space="preserve"> as soon as absences over the whole period total 30 days or more;</w:t>
      </w:r>
    </w:p>
    <w:p w14:paraId="6D48EF38" w14:textId="0A03A642" w:rsidR="002A5DB5" w:rsidRDefault="002A5DB5" w:rsidP="00637C60">
      <w:pPr>
        <w:pStyle w:val="ListParagraph"/>
        <w:numPr>
          <w:ilvl w:val="0"/>
          <w:numId w:val="2"/>
        </w:numPr>
      </w:pPr>
      <w:r>
        <w:t>Periodically inform the Governing Body about the school’s induction arrangements;</w:t>
      </w:r>
    </w:p>
    <w:p w14:paraId="490DF20A" w14:textId="5E77FFC9" w:rsidR="002A5DB5" w:rsidRDefault="002A5DB5" w:rsidP="00637C60">
      <w:pPr>
        <w:pStyle w:val="ListParagraph"/>
        <w:numPr>
          <w:ilvl w:val="0"/>
          <w:numId w:val="2"/>
        </w:numPr>
      </w:pPr>
      <w:r>
        <w:t xml:space="preserve">Ensure termly assessment reports are completed and sent to </w:t>
      </w:r>
      <w:r w:rsidR="00FA3B40">
        <w:t>Kent Teach</w:t>
      </w:r>
      <w:r>
        <w:t xml:space="preserve"> as required;</w:t>
      </w:r>
    </w:p>
    <w:p w14:paraId="30F3C3FE" w14:textId="62C8ADEA" w:rsidR="002A5DB5" w:rsidRDefault="002A5DB5" w:rsidP="00637C60">
      <w:pPr>
        <w:pStyle w:val="ListParagraph"/>
        <w:numPr>
          <w:ilvl w:val="0"/>
          <w:numId w:val="2"/>
        </w:numPr>
      </w:pPr>
      <w:r>
        <w:t xml:space="preserve">Participate appropriately in </w:t>
      </w:r>
      <w:r w:rsidR="00FA3B40">
        <w:t>Kent Teach</w:t>
      </w:r>
      <w:r>
        <w:t>’s Quality Assurance procedures;</w:t>
      </w:r>
    </w:p>
    <w:p w14:paraId="4AA32842" w14:textId="16D191E8" w:rsidR="002A5DB5" w:rsidRDefault="002A5DB5" w:rsidP="00637C60">
      <w:pPr>
        <w:pStyle w:val="ListParagraph"/>
        <w:numPr>
          <w:ilvl w:val="0"/>
          <w:numId w:val="2"/>
        </w:numPr>
      </w:pPr>
      <w:r>
        <w:t>Consult and agree with Appropriate Body the exceptional cases where it may be appropriate to shorten or extend the induction period;</w:t>
      </w:r>
    </w:p>
    <w:p w14:paraId="00D71D6B" w14:textId="65B389CF" w:rsidR="002A5DB5" w:rsidRDefault="002A5DB5" w:rsidP="00637C60">
      <w:pPr>
        <w:pStyle w:val="ListParagraph"/>
        <w:numPr>
          <w:ilvl w:val="0"/>
          <w:numId w:val="2"/>
        </w:numPr>
      </w:pPr>
      <w:r>
        <w:t xml:space="preserve">Make a recommendation to </w:t>
      </w:r>
      <w:r w:rsidR="00FA3B40">
        <w:t>Kent Teach</w:t>
      </w:r>
      <w:r>
        <w:t xml:space="preserve"> on whether the NQT has met the core standards, using agreed forms and within 10 days of the NQT completing the induction period;</w:t>
      </w:r>
    </w:p>
    <w:p w14:paraId="664D43B9" w14:textId="1C280ECE" w:rsidR="002A5DB5" w:rsidRDefault="004E4266" w:rsidP="00637C60">
      <w:pPr>
        <w:pStyle w:val="ListParagraph"/>
        <w:numPr>
          <w:ilvl w:val="0"/>
          <w:numId w:val="2"/>
        </w:numPr>
      </w:pPr>
      <w:r>
        <w:t xml:space="preserve">Provide interim assessment reports for staff moving in between formal assessment periods and notify </w:t>
      </w:r>
      <w:r w:rsidR="00FA3B40">
        <w:t>Kent Teach</w:t>
      </w:r>
      <w:r>
        <w:t xml:space="preserve"> when an NQT serving induction leaves Wrotham School;</w:t>
      </w:r>
    </w:p>
    <w:p w14:paraId="741E479C" w14:textId="2F59EBBC" w:rsidR="004E4266" w:rsidRDefault="004E4266" w:rsidP="00637C60">
      <w:pPr>
        <w:pStyle w:val="ListParagraph"/>
        <w:numPr>
          <w:ilvl w:val="0"/>
          <w:numId w:val="2"/>
        </w:numPr>
      </w:pPr>
      <w:r>
        <w:t>Retain all relevant documentation/evidence on file for six years;</w:t>
      </w:r>
    </w:p>
    <w:p w14:paraId="27B54C69" w14:textId="25B982BF" w:rsidR="004E4266" w:rsidRDefault="004E4266" w:rsidP="004E4266">
      <w:r>
        <w:t>While the headteacher may not delegate these responsibilities, many of the associated tasks will be carried out by an induction mentor or SLT member with responsibility for overseeing teacher training.  In addition to the statutory requirements the headteacher will:</w:t>
      </w:r>
    </w:p>
    <w:p w14:paraId="58D99ACC" w14:textId="3FED3055" w:rsidR="004E4266" w:rsidRDefault="004E4266" w:rsidP="004E4266">
      <w:pPr>
        <w:pStyle w:val="ListParagraph"/>
        <w:numPr>
          <w:ilvl w:val="0"/>
          <w:numId w:val="3"/>
        </w:numPr>
      </w:pPr>
      <w:r>
        <w:t>Observe and give written warnings to an NQT at risk of failing to meet the required standards;</w:t>
      </w:r>
    </w:p>
    <w:p w14:paraId="0963FB68" w14:textId="272DFD1D" w:rsidR="004E4266" w:rsidRDefault="004E4266" w:rsidP="004E4266">
      <w:pPr>
        <w:pStyle w:val="ListParagraph"/>
        <w:numPr>
          <w:ilvl w:val="0"/>
          <w:numId w:val="3"/>
        </w:numPr>
      </w:pPr>
      <w:r>
        <w:t>Keep the Governing Body aware and up to date about induction arrangements and where appropriate; the NQT’s progress.</w:t>
      </w:r>
    </w:p>
    <w:p w14:paraId="2A541562" w14:textId="67642032" w:rsidR="004E4266" w:rsidRDefault="00B84AF4" w:rsidP="004E4266">
      <w:pPr>
        <w:pStyle w:val="Heading2"/>
        <w:rPr>
          <w:color w:val="C45911" w:themeColor="accent2" w:themeShade="BF"/>
        </w:rPr>
      </w:pPr>
      <w:bookmarkStart w:id="8" w:name="_Toc54775499"/>
      <w:r>
        <w:rPr>
          <w:color w:val="C45911" w:themeColor="accent2" w:themeShade="BF"/>
        </w:rPr>
        <w:lastRenderedPageBreak/>
        <w:t xml:space="preserve">4.3 </w:t>
      </w:r>
      <w:r w:rsidR="004E4266" w:rsidRPr="004E4266">
        <w:rPr>
          <w:color w:val="C45911" w:themeColor="accent2" w:themeShade="BF"/>
        </w:rPr>
        <w:t>Teacher Training Coordinator</w:t>
      </w:r>
      <w:bookmarkEnd w:id="8"/>
    </w:p>
    <w:p w14:paraId="1BFC5893" w14:textId="59D4878E" w:rsidR="004E4266" w:rsidRDefault="004E4266" w:rsidP="004E4266">
      <w:r>
        <w:t>The Teacher Training Coordinator oversees the induction of NQTs (when there is more than one NQT working in the school at one time). The Teacher Training Coordinator is responsible for ensuring that induction mentors are fulfilling their roles and to provide support and advice to induction mentors.  The Teacher Training Coordinator ensures that all evidence is adequately recorded and that the school has a consistent approach to NQT induction.</w:t>
      </w:r>
      <w:r w:rsidR="00AA2E4D" w:rsidRPr="00AA2E4D">
        <w:t xml:space="preserve"> </w:t>
      </w:r>
      <w:r w:rsidR="00AA2E4D">
        <w:t>It entails not only a coordination role but also keeping records of activities and monitoring the quality assurance of provision.  It embraces various tasks such as organising a central induction programme, providing support and guidance and the rigorous but fair assessment of NQT performance.</w:t>
      </w:r>
    </w:p>
    <w:p w14:paraId="198D8802" w14:textId="38A6ADAB" w:rsidR="004E4266" w:rsidRDefault="00B84AF4" w:rsidP="004E4266">
      <w:pPr>
        <w:pStyle w:val="Heading2"/>
        <w:rPr>
          <w:color w:val="C45911" w:themeColor="accent2" w:themeShade="BF"/>
        </w:rPr>
      </w:pPr>
      <w:bookmarkStart w:id="9" w:name="_Toc54775500"/>
      <w:r>
        <w:rPr>
          <w:color w:val="C45911" w:themeColor="accent2" w:themeShade="BF"/>
        </w:rPr>
        <w:t xml:space="preserve">4.4 </w:t>
      </w:r>
      <w:r w:rsidR="004E4266">
        <w:rPr>
          <w:color w:val="C45911" w:themeColor="accent2" w:themeShade="BF"/>
        </w:rPr>
        <w:t>Induction Mentors</w:t>
      </w:r>
      <w:bookmarkEnd w:id="9"/>
    </w:p>
    <w:p w14:paraId="3E2F852A" w14:textId="48FF0C99" w:rsidR="004E4266" w:rsidRDefault="004E4266" w:rsidP="004E4266">
      <w:r>
        <w:t xml:space="preserve">The principal requirement for the induction mentors is to be responsible for the overall management of initiating NQTs into the teaching profession and into </w:t>
      </w:r>
      <w:r w:rsidR="00AA2E4D">
        <w:t xml:space="preserve">the systems and structures of Wrotham School.  </w:t>
      </w:r>
      <w:r w:rsidR="00761F79">
        <w:t>The induction mentors provide NQTs with day-to-day support and must:</w:t>
      </w:r>
    </w:p>
    <w:p w14:paraId="7B932A63" w14:textId="33AD59EC" w:rsidR="00761F79" w:rsidRDefault="00761F79" w:rsidP="00761F79">
      <w:pPr>
        <w:pStyle w:val="ListParagraph"/>
        <w:numPr>
          <w:ilvl w:val="0"/>
          <w:numId w:val="4"/>
        </w:numPr>
      </w:pPr>
      <w:r>
        <w:t>Provide, or co-ordinate, guidance and effective support including coaching and mentoring for the NQT’s professional development (with Appropriate Body if necessary);</w:t>
      </w:r>
    </w:p>
    <w:p w14:paraId="1C5F85FB" w14:textId="203F3793" w:rsidR="00761F79" w:rsidRDefault="001D02FB" w:rsidP="00761F79">
      <w:pPr>
        <w:pStyle w:val="ListParagraph"/>
        <w:numPr>
          <w:ilvl w:val="0"/>
          <w:numId w:val="4"/>
        </w:numPr>
      </w:pPr>
      <w:r>
        <w:t>Carry out six reviews of progress during the induction period;</w:t>
      </w:r>
    </w:p>
    <w:p w14:paraId="3443B67B" w14:textId="420A56A5" w:rsidR="001D02FB" w:rsidRDefault="001D02FB" w:rsidP="00761F79">
      <w:pPr>
        <w:pStyle w:val="ListParagraph"/>
        <w:numPr>
          <w:ilvl w:val="0"/>
          <w:numId w:val="4"/>
        </w:numPr>
      </w:pPr>
      <w:r>
        <w:t>Undertake three formal assessment meetings during the total induction period coordinating input from other colleagues as appropriate;</w:t>
      </w:r>
    </w:p>
    <w:p w14:paraId="21AAC0D9" w14:textId="3E08178B" w:rsidR="001D02FB" w:rsidRDefault="001D02FB" w:rsidP="00761F79">
      <w:pPr>
        <w:pStyle w:val="ListParagraph"/>
        <w:numPr>
          <w:ilvl w:val="0"/>
          <w:numId w:val="4"/>
        </w:numPr>
      </w:pPr>
      <w:r>
        <w:t>Undertake six observations of the NQT’s teaching and provide the NQT with copies of written feedback;</w:t>
      </w:r>
    </w:p>
    <w:p w14:paraId="577C0956" w14:textId="31DF9352" w:rsidR="001D02FB" w:rsidRDefault="001D02FB" w:rsidP="00761F79">
      <w:pPr>
        <w:pStyle w:val="ListParagraph"/>
        <w:numPr>
          <w:ilvl w:val="0"/>
          <w:numId w:val="4"/>
        </w:numPr>
      </w:pPr>
      <w:r>
        <w:t>Ensure NQTs are aware of how, both within and outside the institution, they can raise any concerns about their induction programme or their personal progress;</w:t>
      </w:r>
    </w:p>
    <w:p w14:paraId="69236EAD" w14:textId="2C7E6497" w:rsidR="001D02FB" w:rsidRDefault="001D02FB" w:rsidP="00761F79">
      <w:pPr>
        <w:pStyle w:val="ListParagraph"/>
        <w:numPr>
          <w:ilvl w:val="0"/>
          <w:numId w:val="4"/>
        </w:numPr>
      </w:pPr>
      <w:r>
        <w:t xml:space="preserve">Take prompt and appropriate action if an NQT appears to be experiencing difficulties; </w:t>
      </w:r>
    </w:p>
    <w:p w14:paraId="07E5C6FB" w14:textId="1316C314" w:rsidR="001D02FB" w:rsidRDefault="001D02FB" w:rsidP="00761F79">
      <w:pPr>
        <w:pStyle w:val="ListParagraph"/>
        <w:numPr>
          <w:ilvl w:val="0"/>
          <w:numId w:val="4"/>
        </w:numPr>
      </w:pPr>
      <w:r>
        <w:t xml:space="preserve">Ensure that completed assessment reports/forms are sent to </w:t>
      </w:r>
      <w:r w:rsidR="00FA3B40">
        <w:t>Kent Teach</w:t>
      </w:r>
      <w:r>
        <w:t xml:space="preserve"> by the appropriate deadlines.</w:t>
      </w:r>
    </w:p>
    <w:p w14:paraId="2DCED99B" w14:textId="7C66EB1A" w:rsidR="001D02FB" w:rsidRDefault="00B84AF4" w:rsidP="001D02FB">
      <w:pPr>
        <w:pStyle w:val="Heading2"/>
        <w:rPr>
          <w:color w:val="C45911" w:themeColor="accent2" w:themeShade="BF"/>
        </w:rPr>
      </w:pPr>
      <w:bookmarkStart w:id="10" w:name="_Toc54775501"/>
      <w:r>
        <w:rPr>
          <w:color w:val="C45911" w:themeColor="accent2" w:themeShade="BF"/>
        </w:rPr>
        <w:t xml:space="preserve">4.5 </w:t>
      </w:r>
      <w:r w:rsidR="001D02FB">
        <w:rPr>
          <w:color w:val="C45911" w:themeColor="accent2" w:themeShade="BF"/>
        </w:rPr>
        <w:t>Newly Qualified Teacher (NQT)</w:t>
      </w:r>
      <w:bookmarkEnd w:id="10"/>
    </w:p>
    <w:p w14:paraId="1ECA9362" w14:textId="1101C5F0" w:rsidR="001D02FB" w:rsidRDefault="001D02FB" w:rsidP="001D02FB">
      <w:r>
        <w:t>The NQT has a vital role in their own induction.</w:t>
      </w:r>
    </w:p>
    <w:p w14:paraId="26B36890" w14:textId="7E5AE6FC" w:rsidR="001D02FB" w:rsidRDefault="001D02FB" w:rsidP="001D02FB">
      <w:pPr>
        <w:pStyle w:val="Heading3"/>
        <w:rPr>
          <w:color w:val="C45911" w:themeColor="accent2" w:themeShade="BF"/>
        </w:rPr>
      </w:pPr>
      <w:bookmarkStart w:id="11" w:name="_Toc54775502"/>
      <w:r>
        <w:rPr>
          <w:color w:val="C45911" w:themeColor="accent2" w:themeShade="BF"/>
        </w:rPr>
        <w:t>Before the induction period starts:</w:t>
      </w:r>
      <w:bookmarkEnd w:id="11"/>
    </w:p>
    <w:p w14:paraId="267E8E81" w14:textId="5A16FA15" w:rsidR="001D02FB" w:rsidRDefault="001D02FB" w:rsidP="001D02FB">
      <w:pPr>
        <w:pStyle w:val="ListParagraph"/>
        <w:numPr>
          <w:ilvl w:val="0"/>
          <w:numId w:val="5"/>
        </w:numPr>
      </w:pPr>
      <w:r>
        <w:t>Checking that they have passed any skills tests prior to the induction period;</w:t>
      </w:r>
    </w:p>
    <w:p w14:paraId="3E84D4EA" w14:textId="182FC928" w:rsidR="001D02FB" w:rsidRDefault="001D02FB" w:rsidP="001D02FB">
      <w:pPr>
        <w:pStyle w:val="ListParagraph"/>
        <w:numPr>
          <w:ilvl w:val="0"/>
          <w:numId w:val="5"/>
        </w:numPr>
      </w:pPr>
      <w:r>
        <w:t>Checking with the DfE Teaching Agency that they have been awarded QTS pri</w:t>
      </w:r>
      <w:r w:rsidR="00A07270">
        <w:t>or to starting the induction period;</w:t>
      </w:r>
    </w:p>
    <w:p w14:paraId="7C44D114" w14:textId="3E68F919" w:rsidR="00A07270" w:rsidRDefault="00A07270" w:rsidP="001D02FB">
      <w:pPr>
        <w:pStyle w:val="ListParagraph"/>
        <w:numPr>
          <w:ilvl w:val="0"/>
          <w:numId w:val="5"/>
        </w:numPr>
      </w:pPr>
      <w:r>
        <w:t>Providing evidence of QTS demonstrating eligibility to start induction at Wrotham School</w:t>
      </w:r>
    </w:p>
    <w:p w14:paraId="5C290AFF" w14:textId="6A4045FD" w:rsidR="00A07270" w:rsidRDefault="00A07270" w:rsidP="00A07270">
      <w:pPr>
        <w:pStyle w:val="Heading3"/>
        <w:rPr>
          <w:color w:val="C45911" w:themeColor="accent2" w:themeShade="BF"/>
        </w:rPr>
      </w:pPr>
      <w:bookmarkStart w:id="12" w:name="_Toc54775503"/>
      <w:r>
        <w:rPr>
          <w:color w:val="C45911" w:themeColor="accent2" w:themeShade="BF"/>
        </w:rPr>
        <w:t>During the induction period:</w:t>
      </w:r>
      <w:bookmarkEnd w:id="12"/>
    </w:p>
    <w:p w14:paraId="3EC9F784" w14:textId="33D53026" w:rsidR="001B4E5A" w:rsidRDefault="001B4E5A" w:rsidP="001B4E5A">
      <w:pPr>
        <w:pStyle w:val="ListParagraph"/>
        <w:numPr>
          <w:ilvl w:val="0"/>
          <w:numId w:val="6"/>
        </w:numPr>
      </w:pPr>
      <w:r>
        <w:t>At the earliest opportunity following appointment meet with their induction mentor to discuss and agree priorities for their induction programme and development, and keep these under review;</w:t>
      </w:r>
    </w:p>
    <w:p w14:paraId="14A4E398" w14:textId="4FA7895D" w:rsidR="001B4E5A" w:rsidRDefault="00F324A0" w:rsidP="001B4E5A">
      <w:pPr>
        <w:pStyle w:val="ListParagraph"/>
        <w:numPr>
          <w:ilvl w:val="0"/>
          <w:numId w:val="6"/>
        </w:numPr>
      </w:pPr>
      <w:r>
        <w:t>Agree</w:t>
      </w:r>
      <w:r w:rsidR="00F32D01">
        <w:t>ing</w:t>
      </w:r>
      <w:r>
        <w:t xml:space="preserve"> with their mentor how best to use their NQT reduced timetable;</w:t>
      </w:r>
    </w:p>
    <w:p w14:paraId="72EF805F" w14:textId="17A66532" w:rsidR="00F324A0" w:rsidRDefault="00F32D01" w:rsidP="001B4E5A">
      <w:pPr>
        <w:pStyle w:val="ListParagraph"/>
        <w:numPr>
          <w:ilvl w:val="0"/>
          <w:numId w:val="6"/>
        </w:numPr>
      </w:pPr>
      <w:r>
        <w:t xml:space="preserve">Using the </w:t>
      </w:r>
      <w:r w:rsidRPr="00F32D01">
        <w:rPr>
          <w:highlight w:val="yellow"/>
        </w:rPr>
        <w:t>Career Entry and Development Profile (</w:t>
      </w:r>
      <w:proofErr w:type="spellStart"/>
      <w:r w:rsidRPr="00F32D01">
        <w:rPr>
          <w:highlight w:val="yellow"/>
        </w:rPr>
        <w:t>CEDP</w:t>
      </w:r>
      <w:proofErr w:type="spellEnd"/>
      <w:r w:rsidRPr="00F32D01">
        <w:rPr>
          <w:highlight w:val="yellow"/>
        </w:rPr>
        <w:t>)</w:t>
      </w:r>
      <w:r>
        <w:t xml:space="preserve"> to support planning the induction programme;</w:t>
      </w:r>
    </w:p>
    <w:p w14:paraId="6584FC1D" w14:textId="30B43198" w:rsidR="00F32D01" w:rsidRDefault="00F32D01" w:rsidP="001B4E5A">
      <w:pPr>
        <w:pStyle w:val="ListParagraph"/>
        <w:numPr>
          <w:ilvl w:val="0"/>
          <w:numId w:val="6"/>
        </w:numPr>
      </w:pPr>
      <w:r>
        <w:t xml:space="preserve">Recording evidence of their progress towards the </w:t>
      </w:r>
      <w:r w:rsidR="007A2E20">
        <w:t>relevant standards</w:t>
      </w:r>
      <w:r>
        <w:t>;</w:t>
      </w:r>
    </w:p>
    <w:p w14:paraId="1200A556" w14:textId="0A1CD131" w:rsidR="00F32D01" w:rsidRDefault="00F32D01" w:rsidP="001B4E5A">
      <w:pPr>
        <w:pStyle w:val="ListParagraph"/>
        <w:numPr>
          <w:ilvl w:val="0"/>
          <w:numId w:val="6"/>
        </w:numPr>
      </w:pPr>
      <w:r>
        <w:t>Participating fully in the agreed monitoring and development programme;</w:t>
      </w:r>
    </w:p>
    <w:p w14:paraId="49AED976" w14:textId="70241935" w:rsidR="00F32D01" w:rsidRDefault="00F32D01" w:rsidP="001B4E5A">
      <w:pPr>
        <w:pStyle w:val="ListParagraph"/>
        <w:numPr>
          <w:ilvl w:val="0"/>
          <w:numId w:val="6"/>
        </w:numPr>
      </w:pPr>
      <w:r>
        <w:t>Raising any concerns with their induction mentor as soon as practicable;</w:t>
      </w:r>
    </w:p>
    <w:p w14:paraId="33E7FFDD" w14:textId="0FEAA3FD" w:rsidR="00F32D01" w:rsidRDefault="00F32D01" w:rsidP="001B4E5A">
      <w:pPr>
        <w:pStyle w:val="ListParagraph"/>
        <w:numPr>
          <w:ilvl w:val="0"/>
          <w:numId w:val="6"/>
        </w:numPr>
      </w:pPr>
      <w:r>
        <w:t xml:space="preserve">Consulting </w:t>
      </w:r>
      <w:r w:rsidR="00FA3B40">
        <w:t>Kent Teach</w:t>
      </w:r>
      <w:r>
        <w:t xml:space="preserve"> named contact at an early stage where there are or may be difficulties in resolving issues with their mentor/within the institution;</w:t>
      </w:r>
    </w:p>
    <w:p w14:paraId="47C43D04" w14:textId="4407344D" w:rsidR="00F32D01" w:rsidRDefault="00F32D01" w:rsidP="001B4E5A">
      <w:pPr>
        <w:pStyle w:val="ListParagraph"/>
        <w:numPr>
          <w:ilvl w:val="0"/>
          <w:numId w:val="6"/>
        </w:numPr>
      </w:pPr>
      <w:r>
        <w:lastRenderedPageBreak/>
        <w:t>Keeping track of and participating effectively in the scheduled classroom observations, six progress reviews and three formal assessment meetings;</w:t>
      </w:r>
    </w:p>
    <w:p w14:paraId="636E4F27" w14:textId="052F4F0A" w:rsidR="00F32D01" w:rsidRDefault="00F32D01" w:rsidP="001B4E5A">
      <w:pPr>
        <w:pStyle w:val="ListParagraph"/>
        <w:numPr>
          <w:ilvl w:val="0"/>
          <w:numId w:val="6"/>
        </w:numPr>
      </w:pPr>
      <w:r>
        <w:t>Agreeing with their induction mentor the start and end dates of the induction period/part periods and the dates of any absences from Wrotham School during any period/part period;</w:t>
      </w:r>
    </w:p>
    <w:p w14:paraId="02F7E5D0" w14:textId="596F4E68" w:rsidR="00F32D01" w:rsidRDefault="00F32D01" w:rsidP="001B4E5A">
      <w:pPr>
        <w:pStyle w:val="ListParagraph"/>
        <w:numPr>
          <w:ilvl w:val="0"/>
          <w:numId w:val="6"/>
        </w:numPr>
      </w:pPr>
      <w:r>
        <w:t xml:space="preserve">Retaining copies </w:t>
      </w:r>
      <w:r w:rsidR="00C079DC">
        <w:t>of all assessment forms and other documentation.  This, alongside tracking start and end dates for the induction period, is particularly important for NQTs who have had a break/change of employer during the induction period.</w:t>
      </w:r>
    </w:p>
    <w:p w14:paraId="1E1FCC84" w14:textId="520E2B14" w:rsidR="00C079DC" w:rsidRDefault="00C079DC" w:rsidP="00C079DC">
      <w:r>
        <w:t>In addition to the above:</w:t>
      </w:r>
    </w:p>
    <w:p w14:paraId="04976F31" w14:textId="6F58835F" w:rsidR="00C079DC" w:rsidRDefault="00C079DC" w:rsidP="00C079DC">
      <w:pPr>
        <w:pStyle w:val="ListParagraph"/>
        <w:numPr>
          <w:ilvl w:val="0"/>
          <w:numId w:val="7"/>
        </w:numPr>
      </w:pPr>
      <w:r>
        <w:t xml:space="preserve">Whilst </w:t>
      </w:r>
      <w:r>
        <w:rPr>
          <w:i/>
          <w:iCs/>
        </w:rPr>
        <w:t>not</w:t>
      </w:r>
      <w:r>
        <w:t xml:space="preserve"> serving induction, NQTs should comply with the limits on supply teaching for those employed in a relevant school, seeking approval from the relevant Appropriate Body to extend the limits.</w:t>
      </w:r>
    </w:p>
    <w:p w14:paraId="31B4CEEB" w14:textId="4947A326" w:rsidR="00C079DC" w:rsidRDefault="00B84AF4" w:rsidP="00C079DC">
      <w:pPr>
        <w:pStyle w:val="Heading2"/>
        <w:rPr>
          <w:color w:val="C45911" w:themeColor="accent2" w:themeShade="BF"/>
        </w:rPr>
      </w:pPr>
      <w:bookmarkStart w:id="13" w:name="_Toc54775504"/>
      <w:r>
        <w:rPr>
          <w:color w:val="C45911" w:themeColor="accent2" w:themeShade="BF"/>
        </w:rPr>
        <w:t xml:space="preserve">4.6 </w:t>
      </w:r>
      <w:r w:rsidR="00C079DC">
        <w:rPr>
          <w:color w:val="C45911" w:themeColor="accent2" w:themeShade="BF"/>
        </w:rPr>
        <w:t>The Local Authority</w:t>
      </w:r>
      <w:bookmarkEnd w:id="13"/>
    </w:p>
    <w:p w14:paraId="5A2B3A35" w14:textId="28BFD250" w:rsidR="00C079DC" w:rsidRDefault="00C079DC" w:rsidP="00C079DC">
      <w:r>
        <w:t>The Local Authority, along with the Headteacher, is jointly responsible for the supervision and professional development of the NQT during the induction period and has the main quality assurance role.  Wrotham School works closely with the Local Authority to ensure that the statutory requirements are fully met.</w:t>
      </w:r>
    </w:p>
    <w:p w14:paraId="6DEECEF3" w14:textId="70E55BCE" w:rsidR="00C079DC" w:rsidRPr="00C079DC" w:rsidRDefault="00B84AF4" w:rsidP="00C079DC">
      <w:pPr>
        <w:pStyle w:val="Heading2"/>
        <w:rPr>
          <w:color w:val="C45911" w:themeColor="accent2" w:themeShade="BF"/>
        </w:rPr>
      </w:pPr>
      <w:bookmarkStart w:id="14" w:name="_Toc54775505"/>
      <w:r>
        <w:rPr>
          <w:color w:val="C45911" w:themeColor="accent2" w:themeShade="BF"/>
        </w:rPr>
        <w:t xml:space="preserve">4.7 </w:t>
      </w:r>
      <w:r w:rsidR="00C079DC" w:rsidRPr="00C079DC">
        <w:rPr>
          <w:color w:val="C45911" w:themeColor="accent2" w:themeShade="BF"/>
        </w:rPr>
        <w:t>The Appeal Body</w:t>
      </w:r>
      <w:bookmarkEnd w:id="14"/>
    </w:p>
    <w:p w14:paraId="32A582EE" w14:textId="0E5BAD8B" w:rsidR="00A07270" w:rsidRDefault="0095773A" w:rsidP="00A07270">
      <w:r>
        <w:t>The DfE Teaching Agency (TA) is the Appeal Body is England.  If an NQT chooses to appeal against a decision that they have failed to satisfactorily complete induction or the imposition of an extension, the DfE Teaching Agency can:</w:t>
      </w:r>
    </w:p>
    <w:p w14:paraId="6E1D6EC2" w14:textId="312B03F0" w:rsidR="0095773A" w:rsidRDefault="0095773A" w:rsidP="0095773A">
      <w:pPr>
        <w:pStyle w:val="ListParagraph"/>
        <w:numPr>
          <w:ilvl w:val="0"/>
          <w:numId w:val="7"/>
        </w:numPr>
      </w:pPr>
      <w:r>
        <w:t>Allow the appeal;</w:t>
      </w:r>
    </w:p>
    <w:p w14:paraId="5A42D704" w14:textId="1D094A8F" w:rsidR="0095773A" w:rsidRDefault="0095773A" w:rsidP="0095773A">
      <w:pPr>
        <w:pStyle w:val="ListParagraph"/>
        <w:numPr>
          <w:ilvl w:val="0"/>
          <w:numId w:val="7"/>
        </w:numPr>
      </w:pPr>
      <w:r>
        <w:t>Dismiss the appeal;</w:t>
      </w:r>
    </w:p>
    <w:p w14:paraId="087E0394" w14:textId="548640D8" w:rsidR="0095773A" w:rsidRDefault="0095773A" w:rsidP="0095773A">
      <w:pPr>
        <w:pStyle w:val="ListParagraph"/>
        <w:numPr>
          <w:ilvl w:val="0"/>
          <w:numId w:val="7"/>
        </w:numPr>
      </w:pPr>
      <w:r>
        <w:t xml:space="preserve">Extend the period for as long as the DfE Teaching Agency sees fit (which may mean substituting a different extension for one originally put in place by </w:t>
      </w:r>
      <w:r w:rsidR="00FA3B40">
        <w:t>Kent Teach</w:t>
      </w:r>
      <w:r>
        <w:t>.</w:t>
      </w:r>
    </w:p>
    <w:p w14:paraId="751D9609" w14:textId="76311AF9" w:rsidR="0095773A" w:rsidRDefault="00B84AF4" w:rsidP="0095773A">
      <w:pPr>
        <w:pStyle w:val="Heading1"/>
        <w:rPr>
          <w:color w:val="C45911" w:themeColor="accent2" w:themeShade="BF"/>
        </w:rPr>
      </w:pPr>
      <w:bookmarkStart w:id="15" w:name="_Toc54775506"/>
      <w:r>
        <w:rPr>
          <w:color w:val="C45911" w:themeColor="accent2" w:themeShade="BF"/>
        </w:rPr>
        <w:t xml:space="preserve">5. </w:t>
      </w:r>
      <w:r w:rsidR="0095773A" w:rsidRPr="0095773A">
        <w:rPr>
          <w:color w:val="C45911" w:themeColor="accent2" w:themeShade="BF"/>
        </w:rPr>
        <w:t>The Induction Programme</w:t>
      </w:r>
      <w:bookmarkEnd w:id="15"/>
    </w:p>
    <w:p w14:paraId="186FB8D7" w14:textId="77777777" w:rsidR="0095773A" w:rsidRPr="0095773A" w:rsidRDefault="0095773A" w:rsidP="0095773A">
      <w:pPr>
        <w:pStyle w:val="1bodycopy10pt"/>
        <w:rPr>
          <w:rFonts w:asciiTheme="minorHAnsi" w:hAnsiTheme="minorHAnsi" w:cstheme="minorHAnsi"/>
          <w:color w:val="000000" w:themeColor="text1"/>
          <w:sz w:val="22"/>
          <w:szCs w:val="22"/>
          <w:lang w:val="en-GB"/>
        </w:rPr>
      </w:pPr>
      <w:r w:rsidRPr="0095773A">
        <w:rPr>
          <w:rFonts w:asciiTheme="minorHAnsi" w:hAnsiTheme="minorHAnsi" w:cstheme="minorHAnsi"/>
          <w:color w:val="000000" w:themeColor="text1"/>
          <w:sz w:val="22"/>
          <w:szCs w:val="22"/>
          <w:lang w:val="en-GB"/>
        </w:rPr>
        <w:t>For a full-time NQT, the induction programme will typically last for a single academic year. Part-time NQTs will serve a full-time equivalent.</w:t>
      </w:r>
    </w:p>
    <w:p w14:paraId="1112C2E9" w14:textId="6EF95847" w:rsidR="0095773A" w:rsidRDefault="0095773A" w:rsidP="0095773A">
      <w:pPr>
        <w:pStyle w:val="1bodycopy10pt"/>
        <w:rPr>
          <w:rFonts w:asciiTheme="minorHAnsi" w:hAnsiTheme="minorHAnsi" w:cstheme="minorHAnsi"/>
          <w:color w:val="000000" w:themeColor="text1"/>
          <w:sz w:val="22"/>
          <w:szCs w:val="22"/>
          <w:lang w:val="en-GB"/>
        </w:rPr>
      </w:pPr>
      <w:r w:rsidRPr="0095773A">
        <w:rPr>
          <w:rFonts w:asciiTheme="minorHAnsi" w:hAnsiTheme="minorHAnsi" w:cstheme="minorHAnsi"/>
          <w:color w:val="000000" w:themeColor="text1"/>
          <w:sz w:val="22"/>
          <w:szCs w:val="22"/>
          <w:lang w:val="en-GB"/>
        </w:rPr>
        <w:t xml:space="preserve">The programme is quality assured by </w:t>
      </w:r>
      <w:r w:rsidR="00FA3B40">
        <w:rPr>
          <w:rFonts w:asciiTheme="minorHAnsi" w:hAnsiTheme="minorHAnsi" w:cstheme="minorHAnsi"/>
          <w:color w:val="000000" w:themeColor="text1"/>
          <w:sz w:val="22"/>
          <w:szCs w:val="22"/>
          <w:lang w:val="en-GB"/>
        </w:rPr>
        <w:t>Kent Teach</w:t>
      </w:r>
      <w:r>
        <w:rPr>
          <w:rFonts w:asciiTheme="minorHAnsi" w:hAnsiTheme="minorHAnsi" w:cstheme="minorHAnsi"/>
          <w:color w:val="000000" w:themeColor="text1"/>
          <w:sz w:val="22"/>
          <w:szCs w:val="22"/>
          <w:lang w:val="en-GB"/>
        </w:rPr>
        <w:t xml:space="preserve">, </w:t>
      </w:r>
      <w:r w:rsidRPr="0095773A">
        <w:rPr>
          <w:rFonts w:asciiTheme="minorHAnsi" w:hAnsiTheme="minorHAnsi" w:cstheme="minorHAnsi"/>
          <w:color w:val="000000" w:themeColor="text1"/>
          <w:sz w:val="22"/>
          <w:szCs w:val="22"/>
          <w:lang w:val="en-GB"/>
        </w:rPr>
        <w:t>our ‘appropriate body’.</w:t>
      </w:r>
    </w:p>
    <w:p w14:paraId="34509E0E" w14:textId="603A219C" w:rsidR="0095773A" w:rsidRPr="0095773A" w:rsidRDefault="00B84AF4" w:rsidP="0095773A">
      <w:pPr>
        <w:pStyle w:val="Heading2"/>
        <w:rPr>
          <w:color w:val="C45911" w:themeColor="accent2" w:themeShade="BF"/>
        </w:rPr>
      </w:pPr>
      <w:bookmarkStart w:id="16" w:name="_Toc54775507"/>
      <w:r>
        <w:rPr>
          <w:color w:val="C45911" w:themeColor="accent2" w:themeShade="BF"/>
        </w:rPr>
        <w:t xml:space="preserve">5.1 </w:t>
      </w:r>
      <w:r w:rsidR="0095773A" w:rsidRPr="0095773A">
        <w:rPr>
          <w:color w:val="C45911" w:themeColor="accent2" w:themeShade="BF"/>
        </w:rPr>
        <w:t>Posts for Induction</w:t>
      </w:r>
      <w:bookmarkEnd w:id="16"/>
    </w:p>
    <w:p w14:paraId="0CA664D9" w14:textId="77777777" w:rsidR="0095773A" w:rsidRPr="0095773A" w:rsidRDefault="0095773A" w:rsidP="0095773A">
      <w:pPr>
        <w:pStyle w:val="1bodycopy10pt"/>
        <w:rPr>
          <w:rFonts w:asciiTheme="minorHAnsi" w:hAnsiTheme="minorHAnsi" w:cstheme="minorHAnsi"/>
          <w:color w:val="000000" w:themeColor="text1"/>
          <w:sz w:val="22"/>
          <w:szCs w:val="22"/>
          <w:lang w:val="en-GB"/>
        </w:rPr>
      </w:pPr>
      <w:r w:rsidRPr="0095773A">
        <w:rPr>
          <w:rFonts w:asciiTheme="minorHAnsi" w:hAnsiTheme="minorHAnsi" w:cstheme="minorHAnsi"/>
          <w:color w:val="000000" w:themeColor="text1"/>
          <w:sz w:val="22"/>
          <w:szCs w:val="22"/>
          <w:lang w:val="en-GB"/>
        </w:rPr>
        <w:t>Each NQT will:</w:t>
      </w:r>
    </w:p>
    <w:p w14:paraId="6677A3AF" w14:textId="018DB3F6" w:rsidR="0095773A" w:rsidRDefault="0095773A" w:rsidP="0095773A">
      <w:pPr>
        <w:pStyle w:val="4Bulletedcopyblue"/>
        <w:numPr>
          <w:ilvl w:val="0"/>
          <w:numId w:val="11"/>
        </w:numPr>
        <w:rPr>
          <w:rFonts w:asciiTheme="minorHAnsi" w:hAnsiTheme="minorHAnsi" w:cstheme="minorHAnsi"/>
          <w:color w:val="000000" w:themeColor="text1"/>
          <w:sz w:val="22"/>
          <w:szCs w:val="22"/>
          <w:lang w:val="en-GB"/>
        </w:rPr>
      </w:pPr>
      <w:r w:rsidRPr="0095773A">
        <w:rPr>
          <w:rFonts w:asciiTheme="minorHAnsi" w:hAnsiTheme="minorHAnsi" w:cstheme="minorHAnsi"/>
          <w:color w:val="000000" w:themeColor="text1"/>
          <w:sz w:val="22"/>
          <w:szCs w:val="22"/>
          <w:lang w:val="en-GB"/>
        </w:rPr>
        <w:t xml:space="preserve">Be provided with the necessary employment tasks, </w:t>
      </w:r>
      <w:proofErr w:type="gramStart"/>
      <w:r w:rsidRPr="0095773A">
        <w:rPr>
          <w:rFonts w:asciiTheme="minorHAnsi" w:hAnsiTheme="minorHAnsi" w:cstheme="minorHAnsi"/>
          <w:color w:val="000000" w:themeColor="text1"/>
          <w:sz w:val="22"/>
          <w:szCs w:val="22"/>
          <w:lang w:val="en-GB"/>
        </w:rPr>
        <w:t>experience</w:t>
      </w:r>
      <w:proofErr w:type="gramEnd"/>
      <w:r w:rsidRPr="0095773A">
        <w:rPr>
          <w:rFonts w:asciiTheme="minorHAnsi" w:hAnsiTheme="minorHAnsi" w:cstheme="minorHAnsi"/>
          <w:color w:val="000000" w:themeColor="text1"/>
          <w:sz w:val="22"/>
          <w:szCs w:val="22"/>
          <w:lang w:val="en-GB"/>
        </w:rPr>
        <w:t xml:space="preserve"> and support to enable them to demonstrate satisfactory performance against the relevant standards throughout, and by the end of, the induction period</w:t>
      </w:r>
    </w:p>
    <w:p w14:paraId="343DA5EE" w14:textId="5A4DD434" w:rsidR="00576C78" w:rsidRPr="0095773A" w:rsidRDefault="00576C78" w:rsidP="0095773A">
      <w:pPr>
        <w:pStyle w:val="4Bulletedcopyblue"/>
        <w:numPr>
          <w:ilvl w:val="0"/>
          <w:numId w:val="11"/>
        </w:num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 xml:space="preserve">Be provided with mandatory </w:t>
      </w:r>
      <w:proofErr w:type="spellStart"/>
      <w:r>
        <w:rPr>
          <w:rFonts w:asciiTheme="minorHAnsi" w:hAnsiTheme="minorHAnsi" w:cstheme="minorHAnsi"/>
          <w:color w:val="000000" w:themeColor="text1"/>
          <w:sz w:val="22"/>
          <w:szCs w:val="22"/>
          <w:lang w:val="en-GB"/>
        </w:rPr>
        <w:t>CPD</w:t>
      </w:r>
      <w:proofErr w:type="spellEnd"/>
      <w:r>
        <w:rPr>
          <w:rFonts w:asciiTheme="minorHAnsi" w:hAnsiTheme="minorHAnsi" w:cstheme="minorHAnsi"/>
          <w:color w:val="000000" w:themeColor="text1"/>
          <w:sz w:val="22"/>
          <w:szCs w:val="22"/>
          <w:lang w:val="en-GB"/>
        </w:rPr>
        <w:t xml:space="preserve"> sessions covering a range of pedagogical issues and delivered by experienced members of staff</w:t>
      </w:r>
    </w:p>
    <w:p w14:paraId="16CF5C06" w14:textId="3A60D5DF" w:rsidR="0095773A" w:rsidRPr="0095773A" w:rsidRDefault="0095773A" w:rsidP="0095773A">
      <w:pPr>
        <w:pStyle w:val="4Bulletedcopyblue"/>
        <w:numPr>
          <w:ilvl w:val="0"/>
          <w:numId w:val="11"/>
        </w:numPr>
        <w:rPr>
          <w:rFonts w:asciiTheme="minorHAnsi" w:hAnsiTheme="minorHAnsi" w:cstheme="minorHAnsi"/>
          <w:color w:val="000000" w:themeColor="text1"/>
          <w:sz w:val="22"/>
          <w:szCs w:val="22"/>
          <w:lang w:val="en-GB"/>
        </w:rPr>
      </w:pPr>
      <w:r w:rsidRPr="0095773A">
        <w:rPr>
          <w:rFonts w:asciiTheme="minorHAnsi" w:hAnsiTheme="minorHAnsi" w:cstheme="minorHAnsi"/>
          <w:color w:val="000000" w:themeColor="text1"/>
          <w:sz w:val="22"/>
          <w:szCs w:val="22"/>
          <w:lang w:val="en-GB"/>
        </w:rPr>
        <w:t xml:space="preserve">Have an appointed induction </w:t>
      </w:r>
      <w:r>
        <w:rPr>
          <w:rFonts w:asciiTheme="minorHAnsi" w:hAnsiTheme="minorHAnsi" w:cstheme="minorHAnsi"/>
          <w:color w:val="000000" w:themeColor="text1"/>
          <w:sz w:val="22"/>
          <w:szCs w:val="22"/>
          <w:lang w:val="en-GB"/>
        </w:rPr>
        <w:t>mentor</w:t>
      </w:r>
      <w:r w:rsidRPr="0095773A">
        <w:rPr>
          <w:rFonts w:asciiTheme="minorHAnsi" w:hAnsiTheme="minorHAnsi" w:cstheme="minorHAnsi"/>
          <w:color w:val="000000" w:themeColor="text1"/>
          <w:sz w:val="22"/>
          <w:szCs w:val="22"/>
          <w:lang w:val="en-GB"/>
        </w:rPr>
        <w:t>, who will have qualified teacher status (QTS)</w:t>
      </w:r>
    </w:p>
    <w:p w14:paraId="2C0A17CA" w14:textId="77777777" w:rsidR="0095773A" w:rsidRPr="0095773A" w:rsidRDefault="0095773A" w:rsidP="0095773A">
      <w:pPr>
        <w:pStyle w:val="4Bulletedcopyblue"/>
        <w:numPr>
          <w:ilvl w:val="0"/>
          <w:numId w:val="11"/>
        </w:numPr>
        <w:rPr>
          <w:rFonts w:asciiTheme="minorHAnsi" w:hAnsiTheme="minorHAnsi" w:cstheme="minorHAnsi"/>
          <w:color w:val="000000" w:themeColor="text1"/>
          <w:sz w:val="22"/>
          <w:szCs w:val="22"/>
          <w:lang w:val="en-GB"/>
        </w:rPr>
      </w:pPr>
      <w:r w:rsidRPr="0095773A">
        <w:rPr>
          <w:rFonts w:asciiTheme="minorHAnsi" w:hAnsiTheme="minorHAnsi" w:cstheme="minorHAnsi"/>
          <w:color w:val="000000" w:themeColor="text1"/>
          <w:sz w:val="22"/>
          <w:szCs w:val="22"/>
          <w:lang w:val="en-GB"/>
        </w:rPr>
        <w:t>Have a reduced timetable to allow them to undertake activities in their induction programme, with no more than 90% of the timetable of our existing teachers on the main pay range</w:t>
      </w:r>
    </w:p>
    <w:p w14:paraId="1A3F7069" w14:textId="77777777" w:rsidR="0095773A" w:rsidRPr="0095773A" w:rsidRDefault="0095773A" w:rsidP="0095773A">
      <w:pPr>
        <w:pStyle w:val="4Bulletedcopyblue"/>
        <w:numPr>
          <w:ilvl w:val="0"/>
          <w:numId w:val="11"/>
        </w:numPr>
        <w:rPr>
          <w:rFonts w:asciiTheme="minorHAnsi" w:hAnsiTheme="minorHAnsi" w:cstheme="minorHAnsi"/>
          <w:color w:val="000000" w:themeColor="text1"/>
          <w:sz w:val="22"/>
          <w:szCs w:val="22"/>
          <w:lang w:val="en-GB"/>
        </w:rPr>
      </w:pPr>
      <w:r w:rsidRPr="0095773A">
        <w:rPr>
          <w:rFonts w:asciiTheme="minorHAnsi" w:hAnsiTheme="minorHAnsi" w:cstheme="minorHAnsi"/>
          <w:color w:val="000000" w:themeColor="text1"/>
          <w:sz w:val="22"/>
          <w:szCs w:val="22"/>
          <w:lang w:val="en-GB"/>
        </w:rPr>
        <w:t>Regularly teach the same class or classes</w:t>
      </w:r>
    </w:p>
    <w:p w14:paraId="0EC81F53" w14:textId="77777777" w:rsidR="0095773A" w:rsidRPr="0095773A" w:rsidRDefault="0095773A" w:rsidP="0095773A">
      <w:pPr>
        <w:pStyle w:val="4Bulletedcopyblue"/>
        <w:numPr>
          <w:ilvl w:val="0"/>
          <w:numId w:val="11"/>
        </w:numPr>
        <w:rPr>
          <w:rFonts w:asciiTheme="minorHAnsi" w:hAnsiTheme="minorHAnsi" w:cstheme="minorHAnsi"/>
          <w:color w:val="000000" w:themeColor="text1"/>
          <w:sz w:val="22"/>
          <w:szCs w:val="22"/>
          <w:lang w:val="en-GB"/>
        </w:rPr>
      </w:pPr>
      <w:r w:rsidRPr="0095773A">
        <w:rPr>
          <w:rFonts w:asciiTheme="minorHAnsi" w:hAnsiTheme="minorHAnsi" w:cstheme="minorHAnsi"/>
          <w:color w:val="000000" w:themeColor="text1"/>
          <w:sz w:val="22"/>
          <w:szCs w:val="22"/>
          <w:lang w:val="en-GB"/>
        </w:rPr>
        <w:lastRenderedPageBreak/>
        <w:t>Take part in similar planning, teaching and assessment processes to other teachers working in similar posts</w:t>
      </w:r>
    </w:p>
    <w:p w14:paraId="2E6668F4" w14:textId="77777777" w:rsidR="0095773A" w:rsidRPr="0095773A" w:rsidRDefault="0095773A" w:rsidP="0095773A">
      <w:pPr>
        <w:pStyle w:val="4Bulletedcopyblue"/>
        <w:numPr>
          <w:ilvl w:val="0"/>
          <w:numId w:val="11"/>
        </w:numPr>
        <w:rPr>
          <w:rFonts w:asciiTheme="minorHAnsi" w:hAnsiTheme="minorHAnsi" w:cstheme="minorHAnsi"/>
          <w:color w:val="000000" w:themeColor="text1"/>
          <w:sz w:val="22"/>
          <w:szCs w:val="22"/>
          <w:lang w:val="en-GB"/>
        </w:rPr>
      </w:pPr>
      <w:r w:rsidRPr="0095773A">
        <w:rPr>
          <w:rFonts w:asciiTheme="minorHAnsi" w:hAnsiTheme="minorHAnsi" w:cstheme="minorHAnsi"/>
          <w:color w:val="000000" w:themeColor="text1"/>
          <w:sz w:val="22"/>
          <w:szCs w:val="22"/>
          <w:lang w:val="en-GB"/>
        </w:rPr>
        <w:t>Not be given additional non-teaching responsibilities without appropriate preparation and support</w:t>
      </w:r>
    </w:p>
    <w:p w14:paraId="29D51C27" w14:textId="77777777" w:rsidR="0095773A" w:rsidRPr="0095773A" w:rsidRDefault="0095773A" w:rsidP="0095773A">
      <w:pPr>
        <w:pStyle w:val="4Bulletedcopyblue"/>
        <w:numPr>
          <w:ilvl w:val="0"/>
          <w:numId w:val="11"/>
        </w:numPr>
        <w:rPr>
          <w:rFonts w:asciiTheme="minorHAnsi" w:hAnsiTheme="minorHAnsi" w:cstheme="minorHAnsi"/>
          <w:color w:val="000000" w:themeColor="text1"/>
          <w:sz w:val="22"/>
          <w:szCs w:val="22"/>
          <w:lang w:val="en-GB"/>
        </w:rPr>
      </w:pPr>
      <w:r w:rsidRPr="0095773A">
        <w:rPr>
          <w:rFonts w:asciiTheme="minorHAnsi" w:hAnsiTheme="minorHAnsi" w:cstheme="minorHAnsi"/>
          <w:color w:val="000000" w:themeColor="text1"/>
          <w:sz w:val="22"/>
          <w:szCs w:val="22"/>
          <w:lang w:val="en-GB"/>
        </w:rPr>
        <w:t>Not have unreasonable demands made upon them</w:t>
      </w:r>
    </w:p>
    <w:p w14:paraId="6FA5D0E4" w14:textId="77777777" w:rsidR="0095773A" w:rsidRPr="0095773A" w:rsidRDefault="0095773A" w:rsidP="0095773A">
      <w:pPr>
        <w:pStyle w:val="4Bulletedcopyblue"/>
        <w:numPr>
          <w:ilvl w:val="0"/>
          <w:numId w:val="11"/>
        </w:numPr>
        <w:rPr>
          <w:rFonts w:asciiTheme="minorHAnsi" w:hAnsiTheme="minorHAnsi" w:cstheme="minorHAnsi"/>
          <w:color w:val="000000" w:themeColor="text1"/>
          <w:sz w:val="22"/>
          <w:szCs w:val="22"/>
          <w:lang w:val="en-GB"/>
        </w:rPr>
      </w:pPr>
      <w:r w:rsidRPr="0095773A">
        <w:rPr>
          <w:rFonts w:asciiTheme="minorHAnsi" w:hAnsiTheme="minorHAnsi" w:cstheme="minorHAnsi"/>
          <w:color w:val="000000" w:themeColor="text1"/>
          <w:sz w:val="22"/>
          <w:szCs w:val="22"/>
          <w:lang w:val="en-GB"/>
        </w:rPr>
        <w:t>Not normally teach outside the age range and/or subjects they have been employed to teach</w:t>
      </w:r>
    </w:p>
    <w:p w14:paraId="474BBB08" w14:textId="2FF9A8A0" w:rsidR="0095773A" w:rsidRDefault="0095773A" w:rsidP="0095773A">
      <w:pPr>
        <w:pStyle w:val="4Bulletedcopyblue"/>
        <w:numPr>
          <w:ilvl w:val="0"/>
          <w:numId w:val="11"/>
        </w:numPr>
        <w:rPr>
          <w:rFonts w:asciiTheme="minorHAnsi" w:hAnsiTheme="minorHAnsi" w:cstheme="minorHAnsi"/>
          <w:color w:val="000000" w:themeColor="text1"/>
          <w:sz w:val="22"/>
          <w:szCs w:val="22"/>
          <w:lang w:val="en-GB"/>
        </w:rPr>
      </w:pPr>
      <w:r w:rsidRPr="0095773A">
        <w:rPr>
          <w:rFonts w:asciiTheme="minorHAnsi" w:hAnsiTheme="minorHAnsi" w:cstheme="minorHAnsi"/>
          <w:color w:val="000000" w:themeColor="text1"/>
          <w:sz w:val="22"/>
          <w:szCs w:val="22"/>
          <w:lang w:val="en-GB"/>
        </w:rPr>
        <w:t>Not be presented with unreasonably demanding pupil discipline problems on a day-to-day basis</w:t>
      </w:r>
    </w:p>
    <w:p w14:paraId="17C6C916" w14:textId="1D62E063" w:rsidR="0095773A" w:rsidRPr="0095773A" w:rsidRDefault="00B84AF4" w:rsidP="0095773A">
      <w:pPr>
        <w:pStyle w:val="Heading2"/>
        <w:rPr>
          <w:color w:val="C45911" w:themeColor="accent2" w:themeShade="BF"/>
        </w:rPr>
      </w:pPr>
      <w:bookmarkStart w:id="17" w:name="_Toc54775508"/>
      <w:r>
        <w:rPr>
          <w:color w:val="C45911" w:themeColor="accent2" w:themeShade="BF"/>
        </w:rPr>
        <w:t xml:space="preserve">5.2 </w:t>
      </w:r>
      <w:r w:rsidR="0095773A" w:rsidRPr="0095773A">
        <w:rPr>
          <w:color w:val="C45911" w:themeColor="accent2" w:themeShade="BF"/>
        </w:rPr>
        <w:t>Support for NQTs</w:t>
      </w:r>
      <w:bookmarkEnd w:id="17"/>
    </w:p>
    <w:p w14:paraId="6C5A2E06" w14:textId="77777777" w:rsidR="0095773A" w:rsidRPr="0095773A" w:rsidRDefault="0095773A" w:rsidP="0095773A">
      <w:pPr>
        <w:pStyle w:val="1bodycopy10pt"/>
        <w:rPr>
          <w:rFonts w:asciiTheme="minorHAnsi" w:hAnsiTheme="minorHAnsi" w:cstheme="minorHAnsi"/>
          <w:color w:val="000000" w:themeColor="text1"/>
          <w:sz w:val="22"/>
          <w:szCs w:val="22"/>
          <w:lang w:val="en-GB"/>
        </w:rPr>
      </w:pPr>
      <w:r w:rsidRPr="0095773A">
        <w:rPr>
          <w:rFonts w:asciiTheme="minorHAnsi" w:hAnsiTheme="minorHAnsi" w:cstheme="minorHAnsi"/>
          <w:color w:val="000000" w:themeColor="text1"/>
          <w:sz w:val="22"/>
          <w:szCs w:val="22"/>
          <w:lang w:val="en-GB"/>
        </w:rPr>
        <w:t>We support NQTs with:</w:t>
      </w:r>
    </w:p>
    <w:p w14:paraId="5AA48CA5" w14:textId="1C03723E" w:rsidR="0095773A" w:rsidRPr="0095773A" w:rsidRDefault="0095773A" w:rsidP="0095773A">
      <w:pPr>
        <w:pStyle w:val="4Bulletedcopyblue"/>
        <w:numPr>
          <w:ilvl w:val="0"/>
          <w:numId w:val="10"/>
        </w:numPr>
        <w:rPr>
          <w:rFonts w:asciiTheme="minorHAnsi" w:hAnsiTheme="minorHAnsi" w:cstheme="minorHAnsi"/>
          <w:color w:val="000000" w:themeColor="text1"/>
          <w:sz w:val="22"/>
          <w:szCs w:val="22"/>
          <w:lang w:val="en-GB"/>
        </w:rPr>
      </w:pPr>
      <w:r w:rsidRPr="0095773A">
        <w:rPr>
          <w:rFonts w:asciiTheme="minorHAnsi" w:hAnsiTheme="minorHAnsi" w:cstheme="minorHAnsi"/>
          <w:color w:val="000000" w:themeColor="text1"/>
          <w:sz w:val="22"/>
          <w:szCs w:val="22"/>
          <w:lang w:val="en-GB"/>
        </w:rPr>
        <w:t xml:space="preserve">Their designated induction </w:t>
      </w:r>
      <w:r>
        <w:rPr>
          <w:rFonts w:asciiTheme="minorHAnsi" w:hAnsiTheme="minorHAnsi" w:cstheme="minorHAnsi"/>
          <w:color w:val="000000" w:themeColor="text1"/>
          <w:sz w:val="22"/>
          <w:szCs w:val="22"/>
          <w:lang w:val="en-GB"/>
        </w:rPr>
        <w:t>mentor</w:t>
      </w:r>
      <w:r w:rsidRPr="0095773A">
        <w:rPr>
          <w:rFonts w:asciiTheme="minorHAnsi" w:hAnsiTheme="minorHAnsi" w:cstheme="minorHAnsi"/>
          <w:color w:val="000000" w:themeColor="text1"/>
          <w:sz w:val="22"/>
          <w:szCs w:val="22"/>
          <w:lang w:val="en-GB"/>
        </w:rPr>
        <w:t>, who will provide day-to-day monitoring and support, and co-ordinate their assessments</w:t>
      </w:r>
    </w:p>
    <w:p w14:paraId="75B48881" w14:textId="77777777" w:rsidR="0095773A" w:rsidRPr="0095773A" w:rsidRDefault="0095773A" w:rsidP="0095773A">
      <w:pPr>
        <w:pStyle w:val="4Bulletedcopyblue"/>
        <w:numPr>
          <w:ilvl w:val="0"/>
          <w:numId w:val="10"/>
        </w:numPr>
        <w:rPr>
          <w:rFonts w:asciiTheme="minorHAnsi" w:hAnsiTheme="minorHAnsi" w:cstheme="minorHAnsi"/>
          <w:color w:val="000000" w:themeColor="text1"/>
          <w:sz w:val="22"/>
          <w:szCs w:val="22"/>
          <w:lang w:val="en-GB"/>
        </w:rPr>
      </w:pPr>
      <w:r w:rsidRPr="0095773A">
        <w:rPr>
          <w:rFonts w:asciiTheme="minorHAnsi" w:hAnsiTheme="minorHAnsi" w:cstheme="minorHAnsi"/>
          <w:color w:val="000000" w:themeColor="text1"/>
          <w:sz w:val="22"/>
          <w:szCs w:val="22"/>
          <w:lang w:val="en-GB"/>
        </w:rPr>
        <w:t xml:space="preserve">Observations of their teaching at regular intervals, and follow-up discussions with prompt and constructive feedback </w:t>
      </w:r>
    </w:p>
    <w:p w14:paraId="29E5B2A7" w14:textId="6E7C7719" w:rsidR="0095773A" w:rsidRPr="0095773A" w:rsidRDefault="0095773A" w:rsidP="0095773A">
      <w:pPr>
        <w:pStyle w:val="4Bulletedcopyblue"/>
        <w:numPr>
          <w:ilvl w:val="0"/>
          <w:numId w:val="10"/>
        </w:numPr>
        <w:rPr>
          <w:rFonts w:asciiTheme="minorHAnsi" w:hAnsiTheme="minorHAnsi" w:cstheme="minorHAnsi"/>
          <w:color w:val="000000" w:themeColor="text1"/>
          <w:sz w:val="22"/>
          <w:szCs w:val="22"/>
          <w:lang w:val="en-GB"/>
        </w:rPr>
      </w:pPr>
      <w:r w:rsidRPr="0095773A">
        <w:rPr>
          <w:rFonts w:asciiTheme="minorHAnsi" w:hAnsiTheme="minorHAnsi" w:cstheme="minorHAnsi"/>
          <w:color w:val="000000" w:themeColor="text1"/>
          <w:sz w:val="22"/>
          <w:szCs w:val="22"/>
          <w:lang w:val="en-GB"/>
        </w:rPr>
        <w:t>Regular professional reviews of their progress, to take place</w:t>
      </w:r>
      <w:r>
        <w:rPr>
          <w:rFonts w:asciiTheme="minorHAnsi" w:hAnsiTheme="minorHAnsi" w:cstheme="minorHAnsi"/>
          <w:color w:val="000000" w:themeColor="text1"/>
          <w:sz w:val="22"/>
          <w:szCs w:val="22"/>
          <w:lang w:val="en-GB"/>
        </w:rPr>
        <w:t xml:space="preserve"> at the end of each half term</w:t>
      </w:r>
      <w:r w:rsidRPr="0095773A">
        <w:rPr>
          <w:rFonts w:asciiTheme="minorHAnsi" w:hAnsiTheme="minorHAnsi" w:cstheme="minorHAnsi"/>
          <w:color w:val="000000" w:themeColor="text1"/>
          <w:sz w:val="22"/>
          <w:szCs w:val="22"/>
          <w:lang w:val="en-GB"/>
        </w:rPr>
        <w:t>, at which we will review their objectives and revise them in relation to the relevant standards and their current needs and strengths</w:t>
      </w:r>
    </w:p>
    <w:p w14:paraId="6C0378D2" w14:textId="37F1E7C7" w:rsidR="0095773A" w:rsidRDefault="0095773A" w:rsidP="0095773A">
      <w:pPr>
        <w:pStyle w:val="4Bulletedcopyblue"/>
        <w:numPr>
          <w:ilvl w:val="0"/>
          <w:numId w:val="10"/>
        </w:numPr>
        <w:rPr>
          <w:rFonts w:asciiTheme="minorHAnsi" w:hAnsiTheme="minorHAnsi" w:cstheme="minorHAnsi"/>
          <w:color w:val="000000" w:themeColor="text1"/>
          <w:sz w:val="22"/>
          <w:szCs w:val="22"/>
          <w:lang w:val="en-GB"/>
        </w:rPr>
      </w:pPr>
      <w:r w:rsidRPr="0095773A">
        <w:rPr>
          <w:rFonts w:asciiTheme="minorHAnsi" w:hAnsiTheme="minorHAnsi" w:cstheme="minorHAnsi"/>
          <w:color w:val="000000" w:themeColor="text1"/>
          <w:sz w:val="22"/>
          <w:szCs w:val="22"/>
          <w:lang w:val="en-GB"/>
        </w:rPr>
        <w:t>Chances to observe experienced teachers, either within the school or at another school with effective practice</w:t>
      </w:r>
    </w:p>
    <w:p w14:paraId="56559422" w14:textId="4F299A7A" w:rsidR="0095773A" w:rsidRPr="0095773A" w:rsidRDefault="00B84AF4" w:rsidP="0095773A">
      <w:pPr>
        <w:pStyle w:val="Heading2"/>
        <w:rPr>
          <w:color w:val="C45911" w:themeColor="accent2" w:themeShade="BF"/>
        </w:rPr>
      </w:pPr>
      <w:bookmarkStart w:id="18" w:name="_Toc54775509"/>
      <w:r>
        <w:rPr>
          <w:color w:val="C45911" w:themeColor="accent2" w:themeShade="BF"/>
        </w:rPr>
        <w:t xml:space="preserve">5.3 </w:t>
      </w:r>
      <w:r w:rsidR="0095773A" w:rsidRPr="0095773A">
        <w:rPr>
          <w:color w:val="C45911" w:themeColor="accent2" w:themeShade="BF"/>
        </w:rPr>
        <w:t>Assessments of NQT Performance</w:t>
      </w:r>
      <w:bookmarkEnd w:id="18"/>
    </w:p>
    <w:p w14:paraId="79F2A8E5" w14:textId="0E7A04C7" w:rsidR="0095773A" w:rsidRPr="0095773A" w:rsidRDefault="0095773A" w:rsidP="0095773A">
      <w:pPr>
        <w:pStyle w:val="1bodycopy10pt"/>
        <w:rPr>
          <w:rFonts w:asciiTheme="minorHAnsi" w:hAnsiTheme="minorHAnsi" w:cstheme="minorHAnsi"/>
          <w:color w:val="000000" w:themeColor="text1"/>
          <w:sz w:val="22"/>
          <w:szCs w:val="22"/>
          <w:lang w:val="en-GB"/>
        </w:rPr>
      </w:pPr>
      <w:r w:rsidRPr="0095773A">
        <w:rPr>
          <w:rFonts w:asciiTheme="minorHAnsi" w:hAnsiTheme="minorHAnsi" w:cstheme="minorHAnsi"/>
          <w:color w:val="000000" w:themeColor="text1"/>
          <w:sz w:val="22"/>
          <w:szCs w:val="22"/>
          <w:lang w:val="en-GB"/>
        </w:rPr>
        <w:t xml:space="preserve">Formal assessment meetings will take place </w:t>
      </w:r>
      <w:r>
        <w:rPr>
          <w:rFonts w:asciiTheme="minorHAnsi" w:hAnsiTheme="minorHAnsi" w:cstheme="minorHAnsi"/>
          <w:color w:val="000000" w:themeColor="text1"/>
          <w:sz w:val="22"/>
          <w:szCs w:val="22"/>
          <w:lang w:val="en-GB"/>
        </w:rPr>
        <w:t xml:space="preserve">once per long term, </w:t>
      </w:r>
      <w:r w:rsidRPr="0095773A">
        <w:rPr>
          <w:rFonts w:asciiTheme="minorHAnsi" w:hAnsiTheme="minorHAnsi" w:cstheme="minorHAnsi"/>
          <w:color w:val="000000" w:themeColor="text1"/>
          <w:sz w:val="22"/>
          <w:szCs w:val="22"/>
          <w:lang w:val="en-GB"/>
        </w:rPr>
        <w:t>carried out</w:t>
      </w:r>
      <w:r>
        <w:rPr>
          <w:rFonts w:asciiTheme="minorHAnsi" w:hAnsiTheme="minorHAnsi" w:cstheme="minorHAnsi"/>
          <w:color w:val="000000" w:themeColor="text1"/>
          <w:sz w:val="22"/>
          <w:szCs w:val="22"/>
          <w:lang w:val="en-GB"/>
        </w:rPr>
        <w:t xml:space="preserve"> by the NQT’s induction mentor</w:t>
      </w:r>
      <w:r w:rsidRPr="0095773A">
        <w:rPr>
          <w:rFonts w:asciiTheme="minorHAnsi" w:hAnsiTheme="minorHAnsi" w:cstheme="minorHAnsi"/>
          <w:color w:val="000000" w:themeColor="text1"/>
          <w:sz w:val="22"/>
          <w:szCs w:val="22"/>
          <w:lang w:val="en-GB"/>
        </w:rPr>
        <w:t>.</w:t>
      </w:r>
    </w:p>
    <w:p w14:paraId="6D465006" w14:textId="52ED6C13" w:rsidR="0095773A" w:rsidRPr="0095773A" w:rsidRDefault="0095773A" w:rsidP="0095773A">
      <w:pPr>
        <w:pStyle w:val="1bodycopy10pt"/>
        <w:rPr>
          <w:rFonts w:asciiTheme="minorHAnsi" w:hAnsiTheme="minorHAnsi" w:cstheme="minorHAnsi"/>
          <w:color w:val="000000" w:themeColor="text1"/>
          <w:sz w:val="22"/>
          <w:szCs w:val="22"/>
          <w:lang w:val="en-GB"/>
        </w:rPr>
      </w:pPr>
      <w:r w:rsidRPr="0095773A">
        <w:rPr>
          <w:rFonts w:asciiTheme="minorHAnsi" w:hAnsiTheme="minorHAnsi" w:cstheme="minorHAnsi"/>
          <w:color w:val="000000" w:themeColor="text1"/>
          <w:sz w:val="22"/>
          <w:szCs w:val="22"/>
          <w:lang w:val="en-GB"/>
        </w:rPr>
        <w:t xml:space="preserve">These meetings will be informed by clear and transparent evidence gathered during the preceding assessment </w:t>
      </w:r>
      <w:r w:rsidR="00B84AF4" w:rsidRPr="0095773A">
        <w:rPr>
          <w:rFonts w:asciiTheme="minorHAnsi" w:hAnsiTheme="minorHAnsi" w:cstheme="minorHAnsi"/>
          <w:color w:val="000000" w:themeColor="text1"/>
          <w:sz w:val="22"/>
          <w:szCs w:val="22"/>
          <w:lang w:val="en-GB"/>
        </w:rPr>
        <w:t>period and</w:t>
      </w:r>
      <w:r w:rsidRPr="0095773A">
        <w:rPr>
          <w:rFonts w:asciiTheme="minorHAnsi" w:hAnsiTheme="minorHAnsi" w:cstheme="minorHAnsi"/>
          <w:color w:val="000000" w:themeColor="text1"/>
          <w:sz w:val="22"/>
          <w:szCs w:val="22"/>
          <w:lang w:val="en-GB"/>
        </w:rPr>
        <w:t xml:space="preserve"> drawn from the NQT’s work as a teacher and from their induction programme. Copies of the evidence relied on will be provided to the NQT and </w:t>
      </w:r>
      <w:r w:rsidR="00FA3B40">
        <w:rPr>
          <w:rFonts w:asciiTheme="minorHAnsi" w:hAnsiTheme="minorHAnsi" w:cstheme="minorHAnsi"/>
          <w:color w:val="000000" w:themeColor="text1"/>
          <w:sz w:val="22"/>
          <w:szCs w:val="22"/>
          <w:lang w:val="en-GB"/>
        </w:rPr>
        <w:t>Kent Teach</w:t>
      </w:r>
      <w:r w:rsidRPr="0095773A">
        <w:rPr>
          <w:rFonts w:asciiTheme="minorHAnsi" w:hAnsiTheme="minorHAnsi" w:cstheme="minorHAnsi"/>
          <w:color w:val="000000" w:themeColor="text1"/>
          <w:sz w:val="22"/>
          <w:szCs w:val="22"/>
          <w:lang w:val="en-GB"/>
        </w:rPr>
        <w:t xml:space="preserve">. </w:t>
      </w:r>
    </w:p>
    <w:p w14:paraId="3D78F9AE" w14:textId="77777777" w:rsidR="0095773A" w:rsidRPr="0095773A" w:rsidRDefault="0095773A" w:rsidP="0095773A">
      <w:pPr>
        <w:pStyle w:val="1bodycopy10pt"/>
        <w:rPr>
          <w:rFonts w:asciiTheme="minorHAnsi" w:hAnsiTheme="minorHAnsi" w:cstheme="minorHAnsi"/>
          <w:color w:val="000000" w:themeColor="text1"/>
          <w:sz w:val="22"/>
          <w:szCs w:val="22"/>
          <w:lang w:val="en-GB"/>
        </w:rPr>
      </w:pPr>
      <w:r w:rsidRPr="0095773A">
        <w:rPr>
          <w:rFonts w:asciiTheme="minorHAnsi" w:hAnsiTheme="minorHAnsi" w:cstheme="minorHAnsi"/>
          <w:color w:val="000000" w:themeColor="text1"/>
          <w:sz w:val="22"/>
          <w:szCs w:val="22"/>
          <w:lang w:val="en-GB"/>
        </w:rPr>
        <w:t>After these meetings, formal assessment reports will be completed that clearly show how the NQT is performing against the relevant standards.</w:t>
      </w:r>
    </w:p>
    <w:p w14:paraId="650F59A8" w14:textId="77777777" w:rsidR="0095773A" w:rsidRPr="0095773A" w:rsidRDefault="0095773A" w:rsidP="0095773A">
      <w:pPr>
        <w:pStyle w:val="4Bulletedcopyblue"/>
        <w:numPr>
          <w:ilvl w:val="0"/>
          <w:numId w:val="0"/>
        </w:numPr>
        <w:rPr>
          <w:rFonts w:asciiTheme="minorHAnsi" w:hAnsiTheme="minorHAnsi" w:cstheme="minorHAnsi"/>
          <w:color w:val="000000" w:themeColor="text1"/>
          <w:sz w:val="22"/>
          <w:szCs w:val="22"/>
          <w:lang w:val="en-GB"/>
        </w:rPr>
      </w:pPr>
      <w:r w:rsidRPr="0095773A">
        <w:rPr>
          <w:rFonts w:asciiTheme="minorHAnsi" w:hAnsiTheme="minorHAnsi" w:cstheme="minorHAnsi"/>
          <w:color w:val="000000" w:themeColor="text1"/>
          <w:sz w:val="22"/>
          <w:szCs w:val="22"/>
          <w:lang w:val="en-GB"/>
        </w:rPr>
        <w:t>At the end of the programme, NQTs will take part in a final formal assessment meeting. The outcomes of this meeting will be used by the headteacher to decide whether the NQT’s performance is satisfactory against the relevant standards. The decision will be written up in a final assessment form.</w:t>
      </w:r>
    </w:p>
    <w:p w14:paraId="18EF6CE2" w14:textId="77777777" w:rsidR="0095773A" w:rsidRPr="0095773A" w:rsidRDefault="0095773A" w:rsidP="0095773A">
      <w:pPr>
        <w:pStyle w:val="4Bulletedcopyblue"/>
        <w:numPr>
          <w:ilvl w:val="0"/>
          <w:numId w:val="0"/>
        </w:numPr>
        <w:rPr>
          <w:rFonts w:asciiTheme="minorHAnsi" w:hAnsiTheme="minorHAnsi" w:cstheme="minorHAnsi"/>
          <w:color w:val="000000" w:themeColor="text1"/>
          <w:sz w:val="22"/>
          <w:szCs w:val="22"/>
          <w:lang w:val="en-GB"/>
        </w:rPr>
      </w:pPr>
      <w:r w:rsidRPr="0095773A">
        <w:rPr>
          <w:rFonts w:asciiTheme="minorHAnsi" w:hAnsiTheme="minorHAnsi" w:cstheme="minorHAnsi"/>
          <w:color w:val="000000" w:themeColor="text1"/>
          <w:sz w:val="22"/>
          <w:szCs w:val="22"/>
          <w:lang w:val="en-GB"/>
        </w:rPr>
        <w:t>The NQT can add their own comments to this final form.</w:t>
      </w:r>
    </w:p>
    <w:p w14:paraId="3430CE54" w14:textId="3F7FA8E6" w:rsidR="0095773A" w:rsidRDefault="0095773A" w:rsidP="0095773A">
      <w:pPr>
        <w:pStyle w:val="4Bulletedcopyblue"/>
        <w:numPr>
          <w:ilvl w:val="0"/>
          <w:numId w:val="0"/>
        </w:numPr>
        <w:rPr>
          <w:rFonts w:asciiTheme="minorHAnsi" w:hAnsiTheme="minorHAnsi" w:cstheme="minorHAnsi"/>
          <w:color w:val="000000" w:themeColor="text1"/>
          <w:sz w:val="22"/>
          <w:szCs w:val="22"/>
          <w:lang w:val="en-GB"/>
        </w:rPr>
      </w:pPr>
      <w:r w:rsidRPr="0095773A">
        <w:rPr>
          <w:rFonts w:asciiTheme="minorHAnsi" w:hAnsiTheme="minorHAnsi" w:cstheme="minorHAnsi"/>
          <w:color w:val="000000" w:themeColor="text1"/>
          <w:sz w:val="22"/>
          <w:szCs w:val="22"/>
          <w:lang w:val="en-GB"/>
        </w:rPr>
        <w:t xml:space="preserve">The form will then be sent to </w:t>
      </w:r>
      <w:r w:rsidR="00FA3B40">
        <w:rPr>
          <w:rFonts w:asciiTheme="minorHAnsi" w:hAnsiTheme="minorHAnsi" w:cstheme="minorHAnsi"/>
          <w:color w:val="000000" w:themeColor="text1"/>
          <w:sz w:val="22"/>
          <w:szCs w:val="22"/>
          <w:lang w:val="en-GB"/>
        </w:rPr>
        <w:t>Kent Teach</w:t>
      </w:r>
      <w:r w:rsidRPr="0095773A">
        <w:rPr>
          <w:rFonts w:asciiTheme="minorHAnsi" w:hAnsiTheme="minorHAnsi" w:cstheme="minorHAnsi"/>
          <w:color w:val="000000" w:themeColor="text1"/>
          <w:sz w:val="22"/>
          <w:szCs w:val="22"/>
          <w:lang w:val="en-GB"/>
        </w:rPr>
        <w:t>, who will make the final decision on whether the NQT has passed their induction period.</w:t>
      </w:r>
    </w:p>
    <w:p w14:paraId="38160C7F" w14:textId="6A34F149" w:rsidR="0095773A" w:rsidRPr="0095773A" w:rsidRDefault="00B84AF4" w:rsidP="0095773A">
      <w:pPr>
        <w:pStyle w:val="Heading2"/>
        <w:rPr>
          <w:color w:val="C45911" w:themeColor="accent2" w:themeShade="BF"/>
        </w:rPr>
      </w:pPr>
      <w:bookmarkStart w:id="19" w:name="_Toc54775510"/>
      <w:r>
        <w:rPr>
          <w:color w:val="C45911" w:themeColor="accent2" w:themeShade="BF"/>
        </w:rPr>
        <w:t xml:space="preserve">5.4 </w:t>
      </w:r>
      <w:r w:rsidR="0095773A">
        <w:rPr>
          <w:color w:val="C45911" w:themeColor="accent2" w:themeShade="BF"/>
        </w:rPr>
        <w:t>At-Risk Procedures</w:t>
      </w:r>
      <w:bookmarkEnd w:id="19"/>
    </w:p>
    <w:p w14:paraId="6C185CFB" w14:textId="77777777" w:rsidR="0095773A" w:rsidRPr="0095773A" w:rsidRDefault="0095773A" w:rsidP="0095773A">
      <w:pPr>
        <w:pStyle w:val="1bodycopy10pt"/>
        <w:rPr>
          <w:rFonts w:asciiTheme="minorHAnsi" w:hAnsiTheme="minorHAnsi" w:cstheme="minorHAnsi"/>
          <w:color w:val="000000" w:themeColor="text1"/>
          <w:sz w:val="22"/>
          <w:szCs w:val="22"/>
          <w:lang w:val="en-GB"/>
        </w:rPr>
      </w:pPr>
      <w:r w:rsidRPr="0095773A">
        <w:rPr>
          <w:rFonts w:asciiTheme="minorHAnsi" w:hAnsiTheme="minorHAnsi" w:cstheme="minorHAnsi"/>
          <w:color w:val="000000" w:themeColor="text1"/>
          <w:sz w:val="22"/>
          <w:szCs w:val="22"/>
          <w:lang w:val="en-GB"/>
        </w:rPr>
        <w:t>If it becomes clear the NQT is not making sufficient progress, additional monitoring and support measures must be put in place immediately, meaning:</w:t>
      </w:r>
    </w:p>
    <w:p w14:paraId="7DB40184" w14:textId="77777777" w:rsidR="0095773A" w:rsidRPr="0095773A" w:rsidRDefault="0095773A" w:rsidP="0095773A">
      <w:pPr>
        <w:pStyle w:val="4Bulletedcopyblue"/>
        <w:numPr>
          <w:ilvl w:val="0"/>
          <w:numId w:val="9"/>
        </w:numPr>
        <w:rPr>
          <w:rFonts w:asciiTheme="minorHAnsi" w:hAnsiTheme="minorHAnsi" w:cstheme="minorHAnsi"/>
          <w:color w:val="000000" w:themeColor="text1"/>
          <w:sz w:val="22"/>
          <w:szCs w:val="22"/>
          <w:lang w:val="en-GB"/>
        </w:rPr>
      </w:pPr>
      <w:r w:rsidRPr="0095773A">
        <w:rPr>
          <w:rFonts w:asciiTheme="minorHAnsi" w:hAnsiTheme="minorHAnsi" w:cstheme="minorHAnsi"/>
          <w:color w:val="000000" w:themeColor="text1"/>
          <w:sz w:val="22"/>
          <w:szCs w:val="22"/>
          <w:lang w:val="en-GB"/>
        </w:rPr>
        <w:t>Areas in which improvement is needed are identified</w:t>
      </w:r>
    </w:p>
    <w:p w14:paraId="7DAB1A5D" w14:textId="77777777" w:rsidR="0095773A" w:rsidRPr="0095773A" w:rsidRDefault="0095773A" w:rsidP="0095773A">
      <w:pPr>
        <w:pStyle w:val="4Bulletedcopyblue"/>
        <w:numPr>
          <w:ilvl w:val="0"/>
          <w:numId w:val="9"/>
        </w:numPr>
        <w:rPr>
          <w:rFonts w:asciiTheme="minorHAnsi" w:hAnsiTheme="minorHAnsi" w:cstheme="minorHAnsi"/>
          <w:color w:val="000000" w:themeColor="text1"/>
          <w:sz w:val="22"/>
          <w:szCs w:val="22"/>
          <w:lang w:val="en-GB"/>
        </w:rPr>
      </w:pPr>
      <w:r w:rsidRPr="0095773A">
        <w:rPr>
          <w:rFonts w:asciiTheme="minorHAnsi" w:hAnsiTheme="minorHAnsi" w:cstheme="minorHAnsi"/>
          <w:color w:val="000000" w:themeColor="text1"/>
          <w:sz w:val="22"/>
          <w:szCs w:val="22"/>
          <w:lang w:val="en-GB"/>
        </w:rPr>
        <w:t>Appropriate objectives are set to guide the NQT towards satisfactory performance</w:t>
      </w:r>
    </w:p>
    <w:p w14:paraId="281F53E7" w14:textId="77777777" w:rsidR="0095773A" w:rsidRPr="0095773A" w:rsidRDefault="0095773A" w:rsidP="0095773A">
      <w:pPr>
        <w:pStyle w:val="4Bulletedcopyblue"/>
        <w:numPr>
          <w:ilvl w:val="0"/>
          <w:numId w:val="9"/>
        </w:numPr>
        <w:rPr>
          <w:rFonts w:asciiTheme="minorHAnsi" w:hAnsiTheme="minorHAnsi" w:cstheme="minorHAnsi"/>
          <w:color w:val="000000" w:themeColor="text1"/>
          <w:sz w:val="22"/>
          <w:szCs w:val="22"/>
          <w:lang w:val="en-GB"/>
        </w:rPr>
      </w:pPr>
      <w:r w:rsidRPr="0095773A">
        <w:rPr>
          <w:rFonts w:asciiTheme="minorHAnsi" w:hAnsiTheme="minorHAnsi" w:cstheme="minorHAnsi"/>
          <w:color w:val="000000" w:themeColor="text1"/>
          <w:sz w:val="22"/>
          <w:szCs w:val="22"/>
          <w:lang w:val="en-GB"/>
        </w:rPr>
        <w:t>An effective support programme is put in place to help the NQT improve their performance</w:t>
      </w:r>
    </w:p>
    <w:p w14:paraId="54E290F8" w14:textId="77777777" w:rsidR="0095773A" w:rsidRPr="0095773A" w:rsidRDefault="0095773A" w:rsidP="0095773A">
      <w:pPr>
        <w:pStyle w:val="1bodycopy10pt"/>
        <w:rPr>
          <w:rFonts w:asciiTheme="minorHAnsi" w:hAnsiTheme="minorHAnsi" w:cstheme="minorHAnsi"/>
          <w:color w:val="000000" w:themeColor="text1"/>
          <w:sz w:val="22"/>
          <w:szCs w:val="22"/>
          <w:lang w:val="en-GB"/>
        </w:rPr>
      </w:pPr>
      <w:r w:rsidRPr="0095773A">
        <w:rPr>
          <w:rFonts w:asciiTheme="minorHAnsi" w:hAnsiTheme="minorHAnsi" w:cstheme="minorHAnsi"/>
          <w:color w:val="000000" w:themeColor="text1"/>
          <w:sz w:val="22"/>
          <w:szCs w:val="22"/>
          <w:lang w:val="en-GB"/>
        </w:rPr>
        <w:lastRenderedPageBreak/>
        <w:t>If there are still concerns about the NQT’s progress at their next formal assessment, so long as it is not the final assessment, the headteacher will discuss this with the NQT, updating objectives as necessary and giving details of the improvement plan for the next assessment period.</w:t>
      </w:r>
    </w:p>
    <w:p w14:paraId="49B27B2B" w14:textId="766311F0" w:rsidR="007A2E20" w:rsidRPr="007A2E20" w:rsidRDefault="007A2E20" w:rsidP="007A2E20">
      <w:pPr>
        <w:pStyle w:val="Heading1"/>
        <w:rPr>
          <w:color w:val="C45911" w:themeColor="accent2" w:themeShade="BF"/>
        </w:rPr>
      </w:pPr>
      <w:bookmarkStart w:id="20" w:name="_Toc25836420"/>
      <w:bookmarkStart w:id="21" w:name="_Toc54775511"/>
      <w:r w:rsidRPr="007A2E20">
        <w:rPr>
          <w:color w:val="C45911" w:themeColor="accent2" w:themeShade="BF"/>
        </w:rPr>
        <w:t>6. Monitoring arrangements</w:t>
      </w:r>
      <w:bookmarkEnd w:id="20"/>
      <w:bookmarkEnd w:id="21"/>
    </w:p>
    <w:p w14:paraId="5F2BFFF7" w14:textId="3236F52F" w:rsidR="007A2E20" w:rsidRPr="007A2E20" w:rsidRDefault="007A2E20" w:rsidP="007A2E20">
      <w:pPr>
        <w:pStyle w:val="1bodycopy10pt"/>
        <w:rPr>
          <w:rFonts w:asciiTheme="minorHAnsi" w:hAnsiTheme="minorHAnsi" w:cstheme="minorHAnsi"/>
          <w:sz w:val="22"/>
          <w:szCs w:val="28"/>
          <w:lang w:val="en-GB"/>
        </w:rPr>
      </w:pPr>
      <w:r w:rsidRPr="007A2E20">
        <w:rPr>
          <w:rFonts w:asciiTheme="minorHAnsi" w:hAnsiTheme="minorHAnsi" w:cstheme="minorHAnsi"/>
          <w:sz w:val="22"/>
          <w:szCs w:val="28"/>
          <w:lang w:val="en-GB"/>
        </w:rPr>
        <w:t xml:space="preserve">This policy will be reviewed </w:t>
      </w:r>
      <w:r w:rsidRPr="007A2E20">
        <w:rPr>
          <w:rFonts w:asciiTheme="minorHAnsi" w:hAnsiTheme="minorHAnsi" w:cstheme="minorHAnsi"/>
          <w:b/>
          <w:sz w:val="22"/>
          <w:szCs w:val="28"/>
          <w:lang w:val="en-GB"/>
        </w:rPr>
        <w:t>annually</w:t>
      </w:r>
      <w:r w:rsidRPr="007A2E20">
        <w:rPr>
          <w:rFonts w:asciiTheme="minorHAnsi" w:hAnsiTheme="minorHAnsi" w:cstheme="minorHAnsi"/>
          <w:sz w:val="22"/>
          <w:szCs w:val="28"/>
          <w:lang w:val="en-GB"/>
        </w:rPr>
        <w:t xml:space="preserve"> by </w:t>
      </w:r>
      <w:r>
        <w:rPr>
          <w:rStyle w:val="1bodycopy10ptChar"/>
          <w:rFonts w:asciiTheme="minorHAnsi" w:hAnsiTheme="minorHAnsi" w:cstheme="minorHAnsi"/>
          <w:sz w:val="22"/>
          <w:szCs w:val="28"/>
        </w:rPr>
        <w:t>M. Cater (Headteacher).</w:t>
      </w:r>
      <w:r w:rsidRPr="007A2E20">
        <w:rPr>
          <w:rFonts w:asciiTheme="minorHAnsi" w:hAnsiTheme="minorHAnsi" w:cstheme="minorHAnsi"/>
          <w:sz w:val="22"/>
          <w:szCs w:val="28"/>
          <w:lang w:val="en-GB"/>
        </w:rPr>
        <w:t xml:space="preserve"> At every review, it will be approved by the full governing board.</w:t>
      </w:r>
    </w:p>
    <w:p w14:paraId="5C88286C" w14:textId="47DF7F7A" w:rsidR="007A2E20" w:rsidRPr="007A2E20" w:rsidRDefault="007A2E20" w:rsidP="007A2E20">
      <w:pPr>
        <w:pStyle w:val="Heading1"/>
        <w:rPr>
          <w:color w:val="C45911" w:themeColor="accent2" w:themeShade="BF"/>
        </w:rPr>
      </w:pPr>
      <w:bookmarkStart w:id="22" w:name="_Toc25836421"/>
      <w:bookmarkStart w:id="23" w:name="_Toc54775512"/>
      <w:r>
        <w:rPr>
          <w:color w:val="C45911" w:themeColor="accent2" w:themeShade="BF"/>
        </w:rPr>
        <w:t>7</w:t>
      </w:r>
      <w:r w:rsidRPr="007A2E20">
        <w:rPr>
          <w:color w:val="C45911" w:themeColor="accent2" w:themeShade="BF"/>
        </w:rPr>
        <w:t>. Links with other policies</w:t>
      </w:r>
      <w:bookmarkEnd w:id="22"/>
      <w:bookmarkEnd w:id="23"/>
    </w:p>
    <w:p w14:paraId="6E838BC0" w14:textId="77777777" w:rsidR="007A2E20" w:rsidRPr="007A2E20" w:rsidRDefault="007A2E20" w:rsidP="007A2E20">
      <w:pPr>
        <w:pStyle w:val="1bodycopy10pt"/>
        <w:rPr>
          <w:rFonts w:asciiTheme="minorHAnsi" w:hAnsiTheme="minorHAnsi" w:cstheme="minorHAnsi"/>
          <w:sz w:val="22"/>
          <w:szCs w:val="28"/>
          <w:lang w:val="en-GB"/>
        </w:rPr>
      </w:pPr>
      <w:r w:rsidRPr="007A2E20">
        <w:rPr>
          <w:rFonts w:asciiTheme="minorHAnsi" w:hAnsiTheme="minorHAnsi" w:cstheme="minorHAnsi"/>
          <w:sz w:val="22"/>
          <w:szCs w:val="28"/>
          <w:lang w:val="en-GB"/>
        </w:rPr>
        <w:t>This policy links to the following policies and procedures:</w:t>
      </w:r>
    </w:p>
    <w:p w14:paraId="479540C2" w14:textId="77777777" w:rsidR="007A2E20" w:rsidRPr="007A2E20" w:rsidRDefault="007A2E20" w:rsidP="007A2E20">
      <w:pPr>
        <w:pStyle w:val="4Bulletedcopyblue"/>
        <w:numPr>
          <w:ilvl w:val="0"/>
          <w:numId w:val="13"/>
        </w:numPr>
        <w:spacing w:after="0"/>
        <w:ind w:left="884" w:hanging="357"/>
        <w:rPr>
          <w:rFonts w:asciiTheme="minorHAnsi" w:hAnsiTheme="minorHAnsi" w:cstheme="minorHAnsi"/>
          <w:sz w:val="22"/>
          <w:szCs w:val="22"/>
          <w:lang w:val="en-GB"/>
        </w:rPr>
      </w:pPr>
      <w:r w:rsidRPr="007A2E20">
        <w:rPr>
          <w:rFonts w:asciiTheme="minorHAnsi" w:hAnsiTheme="minorHAnsi" w:cstheme="minorHAnsi"/>
          <w:sz w:val="22"/>
          <w:szCs w:val="22"/>
          <w:lang w:val="en-GB"/>
        </w:rPr>
        <w:t>Appraisal</w:t>
      </w:r>
    </w:p>
    <w:p w14:paraId="43E21DA1" w14:textId="77777777" w:rsidR="007A2E20" w:rsidRPr="007A2E20" w:rsidRDefault="007A2E20" w:rsidP="007A2E20">
      <w:pPr>
        <w:pStyle w:val="4Bulletedcopyblue"/>
        <w:numPr>
          <w:ilvl w:val="0"/>
          <w:numId w:val="13"/>
        </w:numPr>
        <w:spacing w:after="0"/>
        <w:ind w:left="884" w:hanging="357"/>
        <w:rPr>
          <w:rFonts w:asciiTheme="minorHAnsi" w:hAnsiTheme="minorHAnsi" w:cstheme="minorHAnsi"/>
          <w:sz w:val="22"/>
          <w:szCs w:val="22"/>
          <w:lang w:val="en-GB"/>
        </w:rPr>
      </w:pPr>
      <w:r w:rsidRPr="007A2E20">
        <w:rPr>
          <w:rFonts w:asciiTheme="minorHAnsi" w:hAnsiTheme="minorHAnsi" w:cstheme="minorHAnsi"/>
          <w:sz w:val="22"/>
          <w:szCs w:val="22"/>
          <w:lang w:val="en-GB"/>
        </w:rPr>
        <w:t>Grievance</w:t>
      </w:r>
    </w:p>
    <w:p w14:paraId="54978A72" w14:textId="42CD405A" w:rsidR="007A2E20" w:rsidRDefault="007A2E20" w:rsidP="007A2E20">
      <w:pPr>
        <w:pStyle w:val="4Bulletedcopyblue"/>
        <w:numPr>
          <w:ilvl w:val="0"/>
          <w:numId w:val="13"/>
        </w:numPr>
        <w:spacing w:after="0"/>
        <w:ind w:left="884" w:hanging="357"/>
        <w:rPr>
          <w:rFonts w:asciiTheme="minorHAnsi" w:hAnsiTheme="minorHAnsi" w:cstheme="minorHAnsi"/>
          <w:sz w:val="22"/>
          <w:szCs w:val="22"/>
          <w:lang w:val="en-GB"/>
        </w:rPr>
      </w:pPr>
      <w:r w:rsidRPr="007A2E20">
        <w:rPr>
          <w:rFonts w:asciiTheme="minorHAnsi" w:hAnsiTheme="minorHAnsi" w:cstheme="minorHAnsi"/>
          <w:sz w:val="22"/>
          <w:szCs w:val="22"/>
          <w:lang w:val="en-GB"/>
        </w:rPr>
        <w:t>Pay</w:t>
      </w:r>
    </w:p>
    <w:p w14:paraId="572A9FD3" w14:textId="6915483E" w:rsidR="007A2E20" w:rsidRDefault="007A2E20" w:rsidP="007A2E20">
      <w:pPr>
        <w:pStyle w:val="4Bulletedcopyblue"/>
        <w:numPr>
          <w:ilvl w:val="0"/>
          <w:numId w:val="13"/>
        </w:numPr>
        <w:spacing w:after="0"/>
        <w:ind w:left="884" w:hanging="357"/>
        <w:rPr>
          <w:rFonts w:asciiTheme="minorHAnsi" w:hAnsiTheme="minorHAnsi" w:cstheme="minorHAnsi"/>
          <w:sz w:val="22"/>
          <w:szCs w:val="22"/>
          <w:lang w:val="en-GB"/>
        </w:rPr>
      </w:pPr>
      <w:r>
        <w:rPr>
          <w:rFonts w:asciiTheme="minorHAnsi" w:hAnsiTheme="minorHAnsi" w:cstheme="minorHAnsi"/>
          <w:sz w:val="22"/>
          <w:szCs w:val="22"/>
          <w:lang w:val="en-GB"/>
        </w:rPr>
        <w:t>Teaching and Learning Policy</w:t>
      </w:r>
    </w:p>
    <w:p w14:paraId="70817246" w14:textId="62999FF8" w:rsidR="007A2E20" w:rsidRDefault="007A2E20" w:rsidP="007A2E20">
      <w:pPr>
        <w:pStyle w:val="4Bulletedcopyblue"/>
        <w:numPr>
          <w:ilvl w:val="0"/>
          <w:numId w:val="13"/>
        </w:numPr>
        <w:spacing w:after="0"/>
        <w:ind w:left="884" w:hanging="357"/>
        <w:rPr>
          <w:rFonts w:asciiTheme="minorHAnsi" w:hAnsiTheme="minorHAnsi" w:cstheme="minorHAnsi"/>
          <w:sz w:val="22"/>
          <w:szCs w:val="22"/>
          <w:lang w:val="en-GB"/>
        </w:rPr>
      </w:pPr>
      <w:r>
        <w:rPr>
          <w:rFonts w:asciiTheme="minorHAnsi" w:hAnsiTheme="minorHAnsi" w:cstheme="minorHAnsi"/>
          <w:sz w:val="22"/>
          <w:szCs w:val="22"/>
          <w:lang w:val="en-GB"/>
        </w:rPr>
        <w:t>Staff Code of Conduct</w:t>
      </w:r>
    </w:p>
    <w:p w14:paraId="3A9ADA91" w14:textId="7C52D450" w:rsidR="00A85EBB" w:rsidRPr="007A2E20" w:rsidRDefault="00A85EBB" w:rsidP="007A2E20">
      <w:pPr>
        <w:pStyle w:val="4Bulletedcopyblue"/>
        <w:numPr>
          <w:ilvl w:val="0"/>
          <w:numId w:val="13"/>
        </w:numPr>
        <w:spacing w:after="0"/>
        <w:ind w:left="884" w:hanging="357"/>
        <w:rPr>
          <w:rFonts w:asciiTheme="minorHAnsi" w:hAnsiTheme="minorHAnsi" w:cstheme="minorHAnsi"/>
          <w:sz w:val="22"/>
          <w:szCs w:val="22"/>
          <w:lang w:val="en-GB"/>
        </w:rPr>
      </w:pPr>
      <w:r>
        <w:rPr>
          <w:rFonts w:asciiTheme="minorHAnsi" w:hAnsiTheme="minorHAnsi" w:cstheme="minorHAnsi"/>
          <w:sz w:val="22"/>
          <w:szCs w:val="22"/>
          <w:lang w:val="en-GB"/>
        </w:rPr>
        <w:t>Risk Assessment for Returning to School (September 2020)</w:t>
      </w:r>
    </w:p>
    <w:p w14:paraId="7E774BC4" w14:textId="7335B3EA" w:rsidR="0095773A" w:rsidRDefault="007A2E20" w:rsidP="007A2E20">
      <w:pPr>
        <w:pStyle w:val="Heading1"/>
        <w:rPr>
          <w:color w:val="C45911" w:themeColor="accent2" w:themeShade="BF"/>
        </w:rPr>
      </w:pPr>
      <w:bookmarkStart w:id="24" w:name="_Toc54775513"/>
      <w:r w:rsidRPr="007A2E20">
        <w:rPr>
          <w:color w:val="C45911" w:themeColor="accent2" w:themeShade="BF"/>
        </w:rPr>
        <w:t>8. Appendices</w:t>
      </w:r>
      <w:bookmarkEnd w:id="24"/>
    </w:p>
    <w:p w14:paraId="6E43FB96" w14:textId="517F4F2D" w:rsidR="007A2E20" w:rsidRDefault="007A2E20" w:rsidP="007A2E20">
      <w:pPr>
        <w:pStyle w:val="Heading2"/>
        <w:rPr>
          <w:color w:val="C45911" w:themeColor="accent2" w:themeShade="BF"/>
        </w:rPr>
      </w:pPr>
      <w:bookmarkStart w:id="25" w:name="_Toc54775514"/>
      <w:r w:rsidRPr="007A2E20">
        <w:rPr>
          <w:color w:val="C45911" w:themeColor="accent2" w:themeShade="BF"/>
        </w:rPr>
        <w:t>8.1 COVID-19 Guidance</w:t>
      </w:r>
      <w:bookmarkEnd w:id="25"/>
    </w:p>
    <w:p w14:paraId="1C0D5AD9" w14:textId="3340DB41" w:rsidR="007A2E20" w:rsidRDefault="007A2E20" w:rsidP="007A2E20">
      <w:r>
        <w:t>Due to restrictions regarding social distancing and reducing the spread of COVID-19; it is important to consider the following during the NQT induction period</w:t>
      </w:r>
      <w:r w:rsidR="00A85EBB">
        <w:t xml:space="preserve"> as NQTs may require more support from their mentors in these areas</w:t>
      </w:r>
      <w:r>
        <w:t>:</w:t>
      </w:r>
    </w:p>
    <w:tbl>
      <w:tblPr>
        <w:tblStyle w:val="TableGrid"/>
        <w:tblW w:w="0" w:type="auto"/>
        <w:tblLook w:val="04A0" w:firstRow="1" w:lastRow="0" w:firstColumn="1" w:lastColumn="0" w:noHBand="0" w:noVBand="1"/>
      </w:tblPr>
      <w:tblGrid>
        <w:gridCol w:w="4508"/>
        <w:gridCol w:w="4508"/>
      </w:tblGrid>
      <w:tr w:rsidR="0050085A" w14:paraId="6101B0F7" w14:textId="77777777" w:rsidTr="0050085A">
        <w:tc>
          <w:tcPr>
            <w:tcW w:w="4508" w:type="dxa"/>
          </w:tcPr>
          <w:p w14:paraId="76C5A9A7" w14:textId="5A8D2F09" w:rsidR="0050085A" w:rsidRPr="0050085A" w:rsidRDefault="0050085A" w:rsidP="0050085A">
            <w:pPr>
              <w:rPr>
                <w:b/>
                <w:bCs/>
              </w:rPr>
            </w:pPr>
            <w:r>
              <w:rPr>
                <w:b/>
                <w:bCs/>
              </w:rPr>
              <w:t xml:space="preserve">Operational Change </w:t>
            </w:r>
            <w:r w:rsidR="00431BA2">
              <w:rPr>
                <w:b/>
                <w:bCs/>
              </w:rPr>
              <w:t>in</w:t>
            </w:r>
            <w:r>
              <w:rPr>
                <w:b/>
                <w:bCs/>
              </w:rPr>
              <w:t xml:space="preserve"> Day-to-Day Running</w:t>
            </w:r>
          </w:p>
        </w:tc>
        <w:tc>
          <w:tcPr>
            <w:tcW w:w="4508" w:type="dxa"/>
          </w:tcPr>
          <w:p w14:paraId="180A5F96" w14:textId="07F9CAFD" w:rsidR="0050085A" w:rsidRPr="0050085A" w:rsidRDefault="0050085A" w:rsidP="0050085A">
            <w:pPr>
              <w:rPr>
                <w:b/>
                <w:bCs/>
              </w:rPr>
            </w:pPr>
            <w:r w:rsidRPr="0050085A">
              <w:rPr>
                <w:b/>
                <w:bCs/>
              </w:rPr>
              <w:t>NQT</w:t>
            </w:r>
            <w:r w:rsidR="00A85EBB">
              <w:rPr>
                <w:b/>
                <w:bCs/>
              </w:rPr>
              <w:t>/Mentor</w:t>
            </w:r>
            <w:r w:rsidRPr="0050085A">
              <w:rPr>
                <w:b/>
                <w:bCs/>
              </w:rPr>
              <w:t xml:space="preserve"> Consideration</w:t>
            </w:r>
          </w:p>
        </w:tc>
      </w:tr>
      <w:tr w:rsidR="0050085A" w14:paraId="09DF7073" w14:textId="77777777" w:rsidTr="0050085A">
        <w:tc>
          <w:tcPr>
            <w:tcW w:w="4508" w:type="dxa"/>
          </w:tcPr>
          <w:p w14:paraId="18EEEBC5" w14:textId="185469E3" w:rsidR="0050085A" w:rsidRDefault="0050085A" w:rsidP="0050085A">
            <w:r>
              <w:t>Year group bubbles with longer session times (</w:t>
            </w:r>
            <w:proofErr w:type="gramStart"/>
            <w:r>
              <w:t>90 minute</w:t>
            </w:r>
            <w:proofErr w:type="gramEnd"/>
            <w:r>
              <w:t xml:space="preserve"> lessons).  </w:t>
            </w:r>
          </w:p>
        </w:tc>
        <w:tc>
          <w:tcPr>
            <w:tcW w:w="4508" w:type="dxa"/>
          </w:tcPr>
          <w:p w14:paraId="20D79798" w14:textId="1BAF2D07" w:rsidR="0050085A" w:rsidRDefault="0050085A" w:rsidP="0050085A">
            <w:r>
              <w:t xml:space="preserve">Impact on planning – longer sessions require a different style of planning.  Minimising interaction between students may limit types of activities that can be utilised. </w:t>
            </w:r>
          </w:p>
        </w:tc>
      </w:tr>
      <w:tr w:rsidR="0050085A" w14:paraId="159ED078" w14:textId="77777777" w:rsidTr="0050085A">
        <w:tc>
          <w:tcPr>
            <w:tcW w:w="4508" w:type="dxa"/>
          </w:tcPr>
          <w:p w14:paraId="5BE9912A" w14:textId="42345E1F" w:rsidR="0050085A" w:rsidRDefault="00A85EBB" w:rsidP="0050085A">
            <w:r>
              <w:t xml:space="preserve">Desks in rows and teacher spaced </w:t>
            </w:r>
            <w:proofErr w:type="spellStart"/>
            <w:r>
              <w:t>2m</w:t>
            </w:r>
            <w:proofErr w:type="spellEnd"/>
            <w:r>
              <w:t xml:space="preserve"> away from students.</w:t>
            </w:r>
          </w:p>
        </w:tc>
        <w:tc>
          <w:tcPr>
            <w:tcW w:w="4508" w:type="dxa"/>
          </w:tcPr>
          <w:p w14:paraId="2A72EA9A" w14:textId="604154E0" w:rsidR="0050085A" w:rsidRDefault="00A85EBB" w:rsidP="0050085A">
            <w:r>
              <w:t>Maintaining distance between staff and students may require changes to how the NQT interacts with students and assesses work in the classroom.</w:t>
            </w:r>
          </w:p>
        </w:tc>
      </w:tr>
      <w:tr w:rsidR="0050085A" w14:paraId="19ACFDC6" w14:textId="77777777" w:rsidTr="0050085A">
        <w:tc>
          <w:tcPr>
            <w:tcW w:w="4508" w:type="dxa"/>
          </w:tcPr>
          <w:p w14:paraId="08B039C1" w14:textId="796EED0C" w:rsidR="0050085A" w:rsidRDefault="00A85EBB" w:rsidP="0050085A">
            <w:r>
              <w:t>Shared equipment must be appropriately sanitised/quarantined.</w:t>
            </w:r>
          </w:p>
        </w:tc>
        <w:tc>
          <w:tcPr>
            <w:tcW w:w="4508" w:type="dxa"/>
          </w:tcPr>
          <w:p w14:paraId="6BA45064" w14:textId="74BC58F6" w:rsidR="0050085A" w:rsidRDefault="00A85EBB" w:rsidP="0050085A">
            <w:r>
              <w:t>Practical activities may require additional forward planning to ensure that shared equipment can be adequately quarantined before next use.</w:t>
            </w:r>
          </w:p>
        </w:tc>
      </w:tr>
      <w:tr w:rsidR="0050085A" w14:paraId="0F43D619" w14:textId="77777777" w:rsidTr="0050085A">
        <w:tc>
          <w:tcPr>
            <w:tcW w:w="4508" w:type="dxa"/>
          </w:tcPr>
          <w:p w14:paraId="1C9048B5" w14:textId="1B06E786" w:rsidR="0050085A" w:rsidRDefault="00A85EBB" w:rsidP="0050085A">
            <w:r>
              <w:t>Risk of absence due to COVID-19</w:t>
            </w:r>
          </w:p>
        </w:tc>
        <w:tc>
          <w:tcPr>
            <w:tcW w:w="4508" w:type="dxa"/>
          </w:tcPr>
          <w:p w14:paraId="66420EEF" w14:textId="0D948000" w:rsidR="0050085A" w:rsidRDefault="00A85EBB" w:rsidP="0050085A">
            <w:r>
              <w:t>Self-isolating NQTs to continue to provide work for classes and where possible, deliver lessons remotely.</w:t>
            </w:r>
          </w:p>
        </w:tc>
      </w:tr>
      <w:tr w:rsidR="0050085A" w14:paraId="046468EA" w14:textId="77777777" w:rsidTr="0050085A">
        <w:tc>
          <w:tcPr>
            <w:tcW w:w="4508" w:type="dxa"/>
          </w:tcPr>
          <w:p w14:paraId="38792671" w14:textId="71FA2D98" w:rsidR="0050085A" w:rsidRDefault="00A85EBB" w:rsidP="0050085A">
            <w:r>
              <w:t>Year group bubbles</w:t>
            </w:r>
          </w:p>
        </w:tc>
        <w:tc>
          <w:tcPr>
            <w:tcW w:w="4508" w:type="dxa"/>
          </w:tcPr>
          <w:p w14:paraId="1AC4A115" w14:textId="68EA4A13" w:rsidR="0050085A" w:rsidRDefault="00A85EBB" w:rsidP="0050085A">
            <w:r>
              <w:t>Observations can only take place where the NQT and their mentor/observer have taught the same year group bubble to maintain social distancing.  This may limit the range of observations available.</w:t>
            </w:r>
          </w:p>
        </w:tc>
      </w:tr>
      <w:tr w:rsidR="00A85EBB" w14:paraId="4B2B9727" w14:textId="77777777" w:rsidTr="0050085A">
        <w:tc>
          <w:tcPr>
            <w:tcW w:w="4508" w:type="dxa"/>
          </w:tcPr>
          <w:p w14:paraId="6361A0C7" w14:textId="15730894" w:rsidR="00A85EBB" w:rsidRDefault="00A85EBB" w:rsidP="0050085A">
            <w:r>
              <w:t>Face to face meetings prohibited in school</w:t>
            </w:r>
          </w:p>
        </w:tc>
        <w:tc>
          <w:tcPr>
            <w:tcW w:w="4508" w:type="dxa"/>
          </w:tcPr>
          <w:p w14:paraId="3361D4C0" w14:textId="4C8D44EA" w:rsidR="00A85EBB" w:rsidRDefault="00A85EBB" w:rsidP="0050085A">
            <w:r>
              <w:t xml:space="preserve">Mentor meetings and </w:t>
            </w:r>
            <w:proofErr w:type="spellStart"/>
            <w:r>
              <w:t>CPD</w:t>
            </w:r>
            <w:proofErr w:type="spellEnd"/>
            <w:r>
              <w:t xml:space="preserve"> sessions to take place outside (weather permitting) or via Microsoft Teams/Zoom.</w:t>
            </w:r>
          </w:p>
        </w:tc>
      </w:tr>
    </w:tbl>
    <w:p w14:paraId="72BEF0B3" w14:textId="4D4362CD" w:rsidR="00FA3B40" w:rsidRPr="0093041D" w:rsidRDefault="00FA3B40" w:rsidP="00FA3B40"/>
    <w:sectPr w:rsidR="00FA3B40" w:rsidRPr="0093041D">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37C1AC" w14:textId="77777777" w:rsidR="00431BA2" w:rsidRDefault="00431BA2" w:rsidP="002C4C9D">
      <w:pPr>
        <w:spacing w:after="0" w:line="240" w:lineRule="auto"/>
      </w:pPr>
      <w:r>
        <w:separator/>
      </w:r>
    </w:p>
  </w:endnote>
  <w:endnote w:type="continuationSeparator" w:id="0">
    <w:p w14:paraId="62A24980" w14:textId="77777777" w:rsidR="00431BA2" w:rsidRDefault="00431BA2" w:rsidP="002C4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8789919"/>
      <w:docPartObj>
        <w:docPartGallery w:val="Page Numbers (Bottom of Page)"/>
        <w:docPartUnique/>
      </w:docPartObj>
    </w:sdtPr>
    <w:sdtEndPr>
      <w:rPr>
        <w:color w:val="C45911" w:themeColor="accent2" w:themeShade="BF"/>
        <w:spacing w:val="60"/>
      </w:rPr>
    </w:sdtEndPr>
    <w:sdtContent>
      <w:p w14:paraId="06829FFC" w14:textId="26AB6D9B" w:rsidR="00431BA2" w:rsidRPr="00A07270" w:rsidRDefault="00431BA2">
        <w:pPr>
          <w:pStyle w:val="Footer"/>
          <w:pBdr>
            <w:top w:val="single" w:sz="4" w:space="1" w:color="D9D9D9" w:themeColor="background1" w:themeShade="D9"/>
          </w:pBdr>
          <w:jc w:val="right"/>
          <w:rPr>
            <w:color w:val="C45911" w:themeColor="accent2" w:themeShade="BF"/>
          </w:rPr>
        </w:pPr>
        <w:r w:rsidRPr="00A07270">
          <w:rPr>
            <w:color w:val="C45911" w:themeColor="accent2" w:themeShade="BF"/>
          </w:rPr>
          <w:fldChar w:fldCharType="begin"/>
        </w:r>
        <w:r w:rsidRPr="00A07270">
          <w:rPr>
            <w:color w:val="C45911" w:themeColor="accent2" w:themeShade="BF"/>
          </w:rPr>
          <w:instrText xml:space="preserve"> PAGE   \* MERGEFORMAT </w:instrText>
        </w:r>
        <w:r w:rsidRPr="00A07270">
          <w:rPr>
            <w:color w:val="C45911" w:themeColor="accent2" w:themeShade="BF"/>
          </w:rPr>
          <w:fldChar w:fldCharType="separate"/>
        </w:r>
        <w:r w:rsidRPr="00A07270">
          <w:rPr>
            <w:noProof/>
            <w:color w:val="C45911" w:themeColor="accent2" w:themeShade="BF"/>
          </w:rPr>
          <w:t>2</w:t>
        </w:r>
        <w:r w:rsidRPr="00A07270">
          <w:rPr>
            <w:noProof/>
            <w:color w:val="C45911" w:themeColor="accent2" w:themeShade="BF"/>
          </w:rPr>
          <w:fldChar w:fldCharType="end"/>
        </w:r>
        <w:r w:rsidRPr="00A07270">
          <w:rPr>
            <w:color w:val="C45911" w:themeColor="accent2" w:themeShade="BF"/>
          </w:rPr>
          <w:t xml:space="preserve"> | </w:t>
        </w:r>
        <w:r w:rsidRPr="00A07270">
          <w:rPr>
            <w:color w:val="C45911" w:themeColor="accent2" w:themeShade="BF"/>
            <w:spacing w:val="60"/>
          </w:rPr>
          <w:t>Page</w:t>
        </w:r>
      </w:p>
    </w:sdtContent>
  </w:sdt>
  <w:p w14:paraId="089EC5ED" w14:textId="342DEE40" w:rsidR="00431BA2" w:rsidRDefault="00431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75BD97" w14:textId="77777777" w:rsidR="00431BA2" w:rsidRDefault="00431BA2" w:rsidP="002C4C9D">
      <w:pPr>
        <w:spacing w:after="0" w:line="240" w:lineRule="auto"/>
      </w:pPr>
      <w:r>
        <w:separator/>
      </w:r>
    </w:p>
  </w:footnote>
  <w:footnote w:type="continuationSeparator" w:id="0">
    <w:p w14:paraId="71602B7E" w14:textId="77777777" w:rsidR="00431BA2" w:rsidRDefault="00431BA2" w:rsidP="002C4C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2" type="#_x0000_t75" style="width:208.9pt;height:332.25pt" o:bullet="t">
        <v:imagedata r:id="rId1" o:title="TK_LOGO_POINTER_RGB_bullet_blue"/>
      </v:shape>
    </w:pict>
  </w:numPicBullet>
  <w:abstractNum w:abstractNumId="0" w15:restartNumberingAfterBreak="0">
    <w:nsid w:val="048635ED"/>
    <w:multiLevelType w:val="hybridMultilevel"/>
    <w:tmpl w:val="035633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1571D3"/>
    <w:multiLevelType w:val="hybridMultilevel"/>
    <w:tmpl w:val="1E54C0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8A6707"/>
    <w:multiLevelType w:val="hybridMultilevel"/>
    <w:tmpl w:val="6BB8061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24A62F30"/>
    <w:multiLevelType w:val="hybridMultilevel"/>
    <w:tmpl w:val="03C615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B742FB"/>
    <w:multiLevelType w:val="hybridMultilevel"/>
    <w:tmpl w:val="A3E89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143EAE"/>
    <w:multiLevelType w:val="hybridMultilevel"/>
    <w:tmpl w:val="C8248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9024D7"/>
    <w:multiLevelType w:val="hybridMultilevel"/>
    <w:tmpl w:val="F45AE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D8658F"/>
    <w:multiLevelType w:val="hybridMultilevel"/>
    <w:tmpl w:val="BD6ED50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43111D52"/>
    <w:multiLevelType w:val="hybridMultilevel"/>
    <w:tmpl w:val="0292E9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70D7984"/>
    <w:multiLevelType w:val="hybridMultilevel"/>
    <w:tmpl w:val="3D3A2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6F5A09"/>
    <w:multiLevelType w:val="hybridMultilevel"/>
    <w:tmpl w:val="ADB69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964D1B"/>
    <w:multiLevelType w:val="hybridMultilevel"/>
    <w:tmpl w:val="A0241F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7CD16AA"/>
    <w:multiLevelType w:val="hybridMultilevel"/>
    <w:tmpl w:val="50F0A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2947B6"/>
    <w:multiLevelType w:val="hybridMultilevel"/>
    <w:tmpl w:val="A668773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 w15:restartNumberingAfterBreak="0">
    <w:nsid w:val="642B0B59"/>
    <w:multiLevelType w:val="hybridMultilevel"/>
    <w:tmpl w:val="0694A612"/>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5" w15:restartNumberingAfterBreak="0">
    <w:nsid w:val="65287F3D"/>
    <w:multiLevelType w:val="hybridMultilevel"/>
    <w:tmpl w:val="25CA2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ED1D1A"/>
    <w:multiLevelType w:val="hybridMultilevel"/>
    <w:tmpl w:val="D096B0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676235"/>
    <w:multiLevelType w:val="hybridMultilevel"/>
    <w:tmpl w:val="915602BC"/>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8"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9"/>
  </w:num>
  <w:num w:numId="2">
    <w:abstractNumId w:val="17"/>
  </w:num>
  <w:num w:numId="3">
    <w:abstractNumId w:val="5"/>
  </w:num>
  <w:num w:numId="4">
    <w:abstractNumId w:val="12"/>
  </w:num>
  <w:num w:numId="5">
    <w:abstractNumId w:val="4"/>
  </w:num>
  <w:num w:numId="6">
    <w:abstractNumId w:val="15"/>
  </w:num>
  <w:num w:numId="7">
    <w:abstractNumId w:val="6"/>
  </w:num>
  <w:num w:numId="8">
    <w:abstractNumId w:val="18"/>
  </w:num>
  <w:num w:numId="9">
    <w:abstractNumId w:val="14"/>
  </w:num>
  <w:num w:numId="10">
    <w:abstractNumId w:val="7"/>
  </w:num>
  <w:num w:numId="11">
    <w:abstractNumId w:val="2"/>
  </w:num>
  <w:num w:numId="12">
    <w:abstractNumId w:val="3"/>
  </w:num>
  <w:num w:numId="13">
    <w:abstractNumId w:val="13"/>
  </w:num>
  <w:num w:numId="14">
    <w:abstractNumId w:val="10"/>
  </w:num>
  <w:num w:numId="15">
    <w:abstractNumId w:val="16"/>
  </w:num>
  <w:num w:numId="16">
    <w:abstractNumId w:val="8"/>
  </w:num>
  <w:num w:numId="17">
    <w:abstractNumId w:val="11"/>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C9D"/>
    <w:rsid w:val="00186EC2"/>
    <w:rsid w:val="001B4E5A"/>
    <w:rsid w:val="001D02FB"/>
    <w:rsid w:val="002A5DB5"/>
    <w:rsid w:val="002C4C9D"/>
    <w:rsid w:val="00431BA2"/>
    <w:rsid w:val="00475904"/>
    <w:rsid w:val="004E4266"/>
    <w:rsid w:val="0050085A"/>
    <w:rsid w:val="00576C78"/>
    <w:rsid w:val="00637C60"/>
    <w:rsid w:val="006650DD"/>
    <w:rsid w:val="00761F79"/>
    <w:rsid w:val="00793CD4"/>
    <w:rsid w:val="007A2E20"/>
    <w:rsid w:val="00883133"/>
    <w:rsid w:val="0091454C"/>
    <w:rsid w:val="0093041D"/>
    <w:rsid w:val="0095773A"/>
    <w:rsid w:val="00A07270"/>
    <w:rsid w:val="00A85EBB"/>
    <w:rsid w:val="00AA2E4D"/>
    <w:rsid w:val="00B84AF4"/>
    <w:rsid w:val="00C079DC"/>
    <w:rsid w:val="00C52F0A"/>
    <w:rsid w:val="00E94911"/>
    <w:rsid w:val="00F324A0"/>
    <w:rsid w:val="00F32D01"/>
    <w:rsid w:val="00FA3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DC14A"/>
  <w15:chartTrackingRefBased/>
  <w15:docId w15:val="{F6833BAC-0486-48D2-AA04-99D36B994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4C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45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D02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4C9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4C9D"/>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2C4C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4C9D"/>
  </w:style>
  <w:style w:type="paragraph" w:styleId="Footer">
    <w:name w:val="footer"/>
    <w:basedOn w:val="Normal"/>
    <w:link w:val="FooterChar"/>
    <w:uiPriority w:val="99"/>
    <w:unhideWhenUsed/>
    <w:rsid w:val="002C4C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4C9D"/>
  </w:style>
  <w:style w:type="character" w:customStyle="1" w:styleId="Heading1Char">
    <w:name w:val="Heading 1 Char"/>
    <w:basedOn w:val="DefaultParagraphFont"/>
    <w:link w:val="Heading1"/>
    <w:uiPriority w:val="9"/>
    <w:rsid w:val="002C4C9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C4C9D"/>
    <w:pPr>
      <w:outlineLvl w:val="9"/>
    </w:pPr>
    <w:rPr>
      <w:lang w:val="en-US"/>
    </w:rPr>
  </w:style>
  <w:style w:type="paragraph" w:styleId="TOC1">
    <w:name w:val="toc 1"/>
    <w:basedOn w:val="Normal"/>
    <w:next w:val="Normal"/>
    <w:autoRedefine/>
    <w:uiPriority w:val="39"/>
    <w:unhideWhenUsed/>
    <w:rsid w:val="002C4C9D"/>
    <w:pPr>
      <w:spacing w:after="100"/>
    </w:pPr>
  </w:style>
  <w:style w:type="character" w:styleId="Hyperlink">
    <w:name w:val="Hyperlink"/>
    <w:basedOn w:val="DefaultParagraphFont"/>
    <w:uiPriority w:val="99"/>
    <w:unhideWhenUsed/>
    <w:rsid w:val="002C4C9D"/>
    <w:rPr>
      <w:color w:val="0563C1" w:themeColor="hyperlink"/>
      <w:u w:val="single"/>
    </w:rPr>
  </w:style>
  <w:style w:type="paragraph" w:styleId="ListParagraph">
    <w:name w:val="List Paragraph"/>
    <w:basedOn w:val="Normal"/>
    <w:uiPriority w:val="34"/>
    <w:qFormat/>
    <w:rsid w:val="00E94911"/>
    <w:pPr>
      <w:ind w:left="720"/>
      <w:contextualSpacing/>
    </w:pPr>
  </w:style>
  <w:style w:type="character" w:customStyle="1" w:styleId="Heading2Char">
    <w:name w:val="Heading 2 Char"/>
    <w:basedOn w:val="DefaultParagraphFont"/>
    <w:link w:val="Heading2"/>
    <w:uiPriority w:val="9"/>
    <w:rsid w:val="0091454C"/>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91454C"/>
    <w:pPr>
      <w:spacing w:after="100"/>
      <w:ind w:left="220"/>
    </w:pPr>
  </w:style>
  <w:style w:type="character" w:customStyle="1" w:styleId="Heading3Char">
    <w:name w:val="Heading 3 Char"/>
    <w:basedOn w:val="DefaultParagraphFont"/>
    <w:link w:val="Heading3"/>
    <w:uiPriority w:val="9"/>
    <w:rsid w:val="001D02FB"/>
    <w:rPr>
      <w:rFonts w:asciiTheme="majorHAnsi" w:eastAsiaTheme="majorEastAsia" w:hAnsiTheme="majorHAnsi" w:cstheme="majorBidi"/>
      <w:color w:val="1F3763" w:themeColor="accent1" w:themeShade="7F"/>
      <w:sz w:val="24"/>
      <w:szCs w:val="24"/>
    </w:rPr>
  </w:style>
  <w:style w:type="paragraph" w:customStyle="1" w:styleId="1bodycopy10pt">
    <w:name w:val="1 body copy 10pt"/>
    <w:basedOn w:val="Normal"/>
    <w:link w:val="1bodycopy10ptChar"/>
    <w:qFormat/>
    <w:rsid w:val="00A07270"/>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A07270"/>
    <w:rPr>
      <w:rFonts w:ascii="Arial" w:eastAsia="MS Mincho" w:hAnsi="Arial" w:cs="Times New Roman"/>
      <w:sz w:val="20"/>
      <w:szCs w:val="24"/>
      <w:lang w:val="en-US"/>
    </w:rPr>
  </w:style>
  <w:style w:type="paragraph" w:customStyle="1" w:styleId="1bodycopy11pt">
    <w:name w:val="1 body copy 11pt"/>
    <w:autoRedefine/>
    <w:rsid w:val="00A07270"/>
    <w:pPr>
      <w:spacing w:after="120" w:line="240" w:lineRule="auto"/>
      <w:ind w:right="850"/>
    </w:pPr>
    <w:rPr>
      <w:rFonts w:ascii="Arial" w:eastAsia="MS Mincho" w:hAnsi="Arial" w:cs="Arial"/>
      <w:szCs w:val="24"/>
      <w:lang w:val="en-US"/>
    </w:rPr>
  </w:style>
  <w:style w:type="paragraph" w:styleId="TOC3">
    <w:name w:val="toc 3"/>
    <w:basedOn w:val="Normal"/>
    <w:next w:val="Normal"/>
    <w:autoRedefine/>
    <w:uiPriority w:val="39"/>
    <w:unhideWhenUsed/>
    <w:rsid w:val="001B4E5A"/>
    <w:pPr>
      <w:spacing w:after="100"/>
      <w:ind w:left="440"/>
    </w:pPr>
  </w:style>
  <w:style w:type="paragraph" w:customStyle="1" w:styleId="4Bulletedcopyblue">
    <w:name w:val="4 Bulleted copy blue"/>
    <w:basedOn w:val="Normal"/>
    <w:qFormat/>
    <w:rsid w:val="0095773A"/>
    <w:pPr>
      <w:numPr>
        <w:numId w:val="8"/>
      </w:numPr>
      <w:spacing w:after="120" w:line="240" w:lineRule="auto"/>
    </w:pPr>
    <w:rPr>
      <w:rFonts w:ascii="Arial" w:eastAsia="MS Mincho" w:hAnsi="Arial" w:cs="Arial"/>
      <w:sz w:val="20"/>
      <w:szCs w:val="20"/>
      <w:lang w:val="en-US"/>
    </w:rPr>
  </w:style>
  <w:style w:type="paragraph" w:customStyle="1" w:styleId="Subhead2">
    <w:name w:val="Subhead 2"/>
    <w:basedOn w:val="1bodycopy10pt"/>
    <w:next w:val="1bodycopy10pt"/>
    <w:link w:val="Subhead2Char"/>
    <w:qFormat/>
    <w:rsid w:val="0095773A"/>
    <w:pPr>
      <w:spacing w:before="240"/>
    </w:pPr>
    <w:rPr>
      <w:b/>
      <w:color w:val="12263F"/>
      <w:sz w:val="24"/>
    </w:rPr>
  </w:style>
  <w:style w:type="character" w:customStyle="1" w:styleId="Subhead2Char">
    <w:name w:val="Subhead 2 Char"/>
    <w:link w:val="Subhead2"/>
    <w:rsid w:val="0095773A"/>
    <w:rPr>
      <w:rFonts w:ascii="Arial" w:eastAsia="MS Mincho" w:hAnsi="Arial" w:cs="Times New Roman"/>
      <w:b/>
      <w:color w:val="12263F"/>
      <w:sz w:val="24"/>
      <w:szCs w:val="24"/>
      <w:lang w:val="en-US"/>
    </w:rPr>
  </w:style>
  <w:style w:type="table" w:styleId="TableGrid">
    <w:name w:val="Table Grid"/>
    <w:basedOn w:val="TableNormal"/>
    <w:uiPriority w:val="39"/>
    <w:rsid w:val="00500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legislation.gov.uk/uksi/2012/1115/contents/ma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induction-for-newly-qualified-teachers-nq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teachers-standard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egislation.gov.uk/uksi/2012/1115/contents/made" TargetMode="External"/><Relationship Id="rId4" Type="http://schemas.openxmlformats.org/officeDocument/2006/relationships/settings" Target="settings.xml"/><Relationship Id="rId9" Type="http://schemas.openxmlformats.org/officeDocument/2006/relationships/hyperlink" Target="https://www.gov.uk/government/publications/induction-for-newly-qualified-teachers-nqts"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CE1C94C-1E57-4315-90EE-3BE156F4C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2836</Words>
  <Characters>16167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Morris</dc:creator>
  <cp:keywords/>
  <dc:description/>
  <cp:lastModifiedBy>Stephanie Morris</cp:lastModifiedBy>
  <cp:revision>17</cp:revision>
  <dcterms:created xsi:type="dcterms:W3CDTF">2020-10-28T08:50:00Z</dcterms:created>
  <dcterms:modified xsi:type="dcterms:W3CDTF">2020-10-28T11:04:00Z</dcterms:modified>
</cp:coreProperties>
</file>