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</w:tblGrid>
      <w:tr w:rsidR="00DA0B55" w:rsidRPr="006862A6" w:rsidTr="00A61336">
        <w:trPr>
          <w:tblCellSpacing w:w="15" w:type="dxa"/>
        </w:trPr>
        <w:tc>
          <w:tcPr>
            <w:tcW w:w="4972" w:type="pct"/>
            <w:vAlign w:val="bottom"/>
            <w:hideMark/>
          </w:tcPr>
          <w:p w:rsidR="00DA0B55" w:rsidRPr="0003619E" w:rsidRDefault="00DA0B55" w:rsidP="00BB2754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en-GB"/>
              </w:rPr>
            </w:pPr>
            <w:r w:rsidRPr="0003619E">
              <w:rPr>
                <w:rFonts w:eastAsia="Times New Roman" w:cs="Arial"/>
                <w:b/>
                <w:bCs/>
                <w:color w:val="447D4F"/>
                <w:sz w:val="28"/>
                <w:szCs w:val="28"/>
                <w:lang w:eastAsia="en-GB"/>
              </w:rPr>
              <w:t>Reading and Numeracy Catch Up 2016-17</w:t>
            </w:r>
            <w:r>
              <w:rPr>
                <w:rFonts w:eastAsia="Times New Roman" w:cs="Arial"/>
                <w:b/>
                <w:bCs/>
                <w:color w:val="447D4F"/>
                <w:sz w:val="28"/>
                <w:szCs w:val="28"/>
                <w:lang w:eastAsia="en-GB"/>
              </w:rPr>
              <w:t xml:space="preserve"> ( </w:t>
            </w:r>
            <w:r w:rsidR="00BB2754">
              <w:rPr>
                <w:rFonts w:eastAsia="Times New Roman" w:cs="Arial"/>
                <w:b/>
                <w:bCs/>
                <w:color w:val="447D4F"/>
                <w:sz w:val="28"/>
                <w:szCs w:val="28"/>
                <w:lang w:eastAsia="en-GB"/>
              </w:rPr>
              <w:t>July</w:t>
            </w:r>
            <w:r>
              <w:rPr>
                <w:rFonts w:eastAsia="Times New Roman" w:cs="Arial"/>
                <w:b/>
                <w:bCs/>
                <w:color w:val="447D4F"/>
                <w:sz w:val="28"/>
                <w:szCs w:val="28"/>
                <w:lang w:eastAsia="en-GB"/>
              </w:rPr>
              <w:t xml:space="preserve"> 2017) </w:t>
            </w:r>
          </w:p>
        </w:tc>
      </w:tr>
    </w:tbl>
    <w:p w:rsidR="00DA0B55" w:rsidRPr="006862A6" w:rsidRDefault="00DA0B55" w:rsidP="00DA0B55">
      <w:pPr>
        <w:spacing w:after="0" w:line="234" w:lineRule="atLeast"/>
        <w:rPr>
          <w:rFonts w:eastAsia="Times New Roman" w:cs="Helvetica"/>
          <w:vanish/>
          <w:color w:val="333333"/>
          <w:lang w:eastAsia="en-GB"/>
        </w:rPr>
      </w:pPr>
    </w:p>
    <w:tbl>
      <w:tblPr>
        <w:tblW w:w="924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DA0B55" w:rsidRPr="008E25C1" w:rsidTr="00A61336">
        <w:trPr>
          <w:tblCellSpacing w:w="15" w:type="dxa"/>
        </w:trPr>
        <w:tc>
          <w:tcPr>
            <w:tcW w:w="9184" w:type="dxa"/>
            <w:hideMark/>
          </w:tcPr>
          <w:p w:rsidR="00DA0B55" w:rsidRDefault="00DA0B55" w:rsidP="00A61336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E25C1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:rsidR="00E1185F" w:rsidRPr="008E25C1" w:rsidRDefault="00E1185F" w:rsidP="00A61336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:rsidR="000F598E" w:rsidRDefault="000F598E" w:rsidP="000F598E">
            <w:r>
              <w:rPr>
                <w:rFonts w:eastAsia="Times New Roman" w:cs="Calibri"/>
                <w:bCs/>
                <w:color w:val="000000"/>
                <w:lang w:eastAsia="en-GB"/>
              </w:rPr>
              <w:t>In previous years, t</w:t>
            </w:r>
            <w:r>
              <w:t xml:space="preserve">he </w:t>
            </w:r>
            <w:r w:rsidR="00C05F02">
              <w:t>reading and</w:t>
            </w:r>
            <w:r>
              <w:t xml:space="preserve"> numeracy catch-up premium provided schools with an additional £500 for each year 7 pupil who did not achieve the required standard of a least a </w:t>
            </w:r>
            <w:r w:rsidR="00C05F02">
              <w:t>level 4</w:t>
            </w:r>
            <w:r>
              <w:t xml:space="preserve"> in reading and/or maths at the end of key stage 2.</w:t>
            </w:r>
          </w:p>
          <w:p w:rsidR="000F598E" w:rsidRDefault="000F598E" w:rsidP="00A84ACE">
            <w:pPr>
              <w:pStyle w:val="PlainText"/>
            </w:pPr>
            <w:r>
              <w:t xml:space="preserve"> New national standards </w:t>
            </w:r>
            <w:r w:rsidR="00840E47">
              <w:t xml:space="preserve">for KS2 </w:t>
            </w:r>
            <w:r>
              <w:t xml:space="preserve">were introduced this year and students were reported as having either </w:t>
            </w:r>
            <w:r w:rsidR="00AB6430">
              <w:t>‘A</w:t>
            </w:r>
            <w:r>
              <w:t>chieved ‘National</w:t>
            </w:r>
            <w:r w:rsidR="00AB6430">
              <w:t xml:space="preserve"> Standard’</w:t>
            </w:r>
            <w:r>
              <w:t xml:space="preserve"> or ‘Not Achieved National Standard’. 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>The</w:t>
            </w:r>
            <w:r w:rsidR="00A84ACE">
              <w:rPr>
                <w:rFonts w:eastAsia="Times New Roman" w:cs="Calibri"/>
                <w:color w:val="000000"/>
                <w:lang w:eastAsia="en-GB"/>
              </w:rPr>
              <w:t>se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 xml:space="preserve"> higher national standards resulted in </w:t>
            </w:r>
            <w:r w:rsidR="00A84ACE">
              <w:rPr>
                <w:rFonts w:eastAsia="Times New Roman" w:cs="Calibri"/>
                <w:color w:val="000000"/>
                <w:lang w:eastAsia="en-GB"/>
              </w:rPr>
              <w:t xml:space="preserve">59 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 xml:space="preserve">year 7 students being reported as below </w:t>
            </w:r>
            <w:r w:rsidR="00840E47">
              <w:rPr>
                <w:rFonts w:eastAsia="Times New Roman" w:cs="Calibri"/>
                <w:color w:val="000000"/>
                <w:lang w:eastAsia="en-GB"/>
              </w:rPr>
              <w:t>n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 xml:space="preserve">ational </w:t>
            </w:r>
            <w:r w:rsidR="00840E47">
              <w:rPr>
                <w:rFonts w:eastAsia="Times New Roman" w:cs="Calibri"/>
                <w:color w:val="000000"/>
                <w:lang w:eastAsia="en-GB"/>
              </w:rPr>
              <w:t>a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>verage in reading</w:t>
            </w:r>
            <w:r w:rsidR="00840E47">
              <w:rPr>
                <w:rFonts w:eastAsia="Times New Roman" w:cs="Calibri"/>
                <w:color w:val="000000"/>
                <w:lang w:eastAsia="en-GB"/>
              </w:rPr>
              <w:t xml:space="preserve"> and/or</w:t>
            </w:r>
            <w:r w:rsidR="00A84ACE">
              <w:rPr>
                <w:rFonts w:eastAsia="Times New Roman" w:cs="Calibri"/>
                <w:color w:val="000000"/>
                <w:lang w:eastAsia="en-GB"/>
              </w:rPr>
              <w:t xml:space="preserve"> maths</w:t>
            </w:r>
            <w:r w:rsidR="00A84ACE" w:rsidRPr="002908B4">
              <w:rPr>
                <w:rFonts w:eastAsia="Times New Roman" w:cs="Calibri"/>
                <w:color w:val="000000"/>
                <w:lang w:eastAsia="en-GB"/>
              </w:rPr>
              <w:t xml:space="preserve"> s</w:t>
            </w:r>
            <w:r w:rsidR="00A84ACE">
              <w:rPr>
                <w:rFonts w:eastAsia="Times New Roman" w:cs="Calibri"/>
                <w:color w:val="000000"/>
                <w:lang w:eastAsia="en-GB"/>
              </w:rPr>
              <w:t xml:space="preserve"> – this is almost double our normal number of students.  However government funding for the academic year 2016-2017 has been granted so that the school </w:t>
            </w:r>
            <w:r w:rsidR="00BB2754">
              <w:rPr>
                <w:rFonts w:eastAsia="Times New Roman" w:cs="Calibri"/>
                <w:color w:val="000000"/>
                <w:lang w:eastAsia="en-GB"/>
              </w:rPr>
              <w:t xml:space="preserve">only </w:t>
            </w:r>
            <w:r w:rsidR="00A84ACE">
              <w:t>receive</w:t>
            </w:r>
            <w:r w:rsidR="00BB2754">
              <w:t>d</w:t>
            </w:r>
            <w:r w:rsidR="00A84ACE">
              <w:t xml:space="preserve"> the same overall amount of year 7 catch-up premium funding they received in 2015</w:t>
            </w:r>
            <w:r w:rsidR="00840E47">
              <w:t>-</w:t>
            </w:r>
            <w:r w:rsidR="00A84ACE">
              <w:t>2016.  Therefore this year, Wrotham School has received less funding per student than in previous years.</w:t>
            </w:r>
            <w:r>
              <w:t xml:space="preserve"> </w:t>
            </w:r>
          </w:p>
          <w:p w:rsidR="00CE4461" w:rsidRDefault="00CE4461" w:rsidP="00A84ACE">
            <w:pPr>
              <w:pStyle w:val="PlainText"/>
            </w:pPr>
          </w:p>
          <w:p w:rsidR="00CE4461" w:rsidRPr="00B97CD1" w:rsidRDefault="00CE4461" w:rsidP="00A84ACE">
            <w:pPr>
              <w:pStyle w:val="PlainText"/>
            </w:pPr>
          </w:p>
          <w:p w:rsidR="000F598E" w:rsidRDefault="000F598E" w:rsidP="000F598E">
            <w:pPr>
              <w:spacing w:after="75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834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atch </w:t>
            </w:r>
            <w:r w:rsidR="00C05F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 Premium income 2016/17       £1</w:t>
            </w:r>
            <w:r w:rsidR="00F67B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4,797</w:t>
            </w:r>
          </w:p>
          <w:p w:rsidR="000F598E" w:rsidRPr="00232A9A" w:rsidRDefault="000F598E" w:rsidP="000F598E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0F598E" w:rsidRPr="00232A9A" w:rsidTr="000F598E">
              <w:tc>
                <w:tcPr>
                  <w:tcW w:w="5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98E" w:rsidRPr="00232A9A" w:rsidRDefault="000F598E" w:rsidP="000F598E">
                  <w:pPr>
                    <w:spacing w:after="75" w:line="207" w:lineRule="atLeast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How was</w:t>
                  </w:r>
                  <w:r w:rsidRPr="00232A9A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this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money </w:t>
                  </w:r>
                  <w:r w:rsidRPr="00232A9A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spent?</w:t>
                  </w:r>
                </w:p>
              </w:tc>
            </w:tr>
            <w:tr w:rsidR="000F598E" w:rsidRPr="00232A9A" w:rsidTr="000F598E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98E" w:rsidRPr="00232A9A" w:rsidRDefault="000F598E" w:rsidP="000F598E">
                  <w:pPr>
                    <w:spacing w:after="75" w:line="207" w:lineRule="atLeast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232A9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Literacy and Numeracy Focus Co-ordinator Salary</w:t>
                  </w:r>
                </w:p>
              </w:tc>
            </w:tr>
            <w:tr w:rsidR="000F598E" w:rsidRPr="00232A9A" w:rsidTr="000F598E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98E" w:rsidRPr="00232A9A" w:rsidRDefault="000F598E" w:rsidP="000F598E">
                  <w:pPr>
                    <w:spacing w:after="75" w:line="207" w:lineRule="atLeast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232A9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Literacy and Numeracy Focus Assistant Co-ordinator Salary</w:t>
                  </w:r>
                </w:p>
              </w:tc>
            </w:tr>
            <w:tr w:rsidR="000F598E" w:rsidRPr="00232A9A" w:rsidTr="000F598E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98E" w:rsidRPr="00232A9A" w:rsidRDefault="000F598E" w:rsidP="000F598E">
                  <w:pPr>
                    <w:spacing w:after="75" w:line="207" w:lineRule="atLeast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232A9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Contribution to Salary of T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 xml:space="preserve">eaching Assistants </w:t>
                  </w:r>
                  <w:r w:rsidRPr="00232A9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leading the morning reading and Parent Ambassador reading programmes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, supporting Set A maths lessons and leading small maths intervention groups.</w:t>
                  </w:r>
                </w:p>
              </w:tc>
            </w:tr>
            <w:tr w:rsidR="000F598E" w:rsidRPr="00232A9A" w:rsidTr="000F598E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98E" w:rsidRPr="00232A9A" w:rsidRDefault="000F598E" w:rsidP="000F598E">
                  <w:pPr>
                    <w:spacing w:after="75" w:line="207" w:lineRule="atLeast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232A9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n-GB"/>
                    </w:rPr>
                    <w:t>Purchase of specific resources</w:t>
                  </w:r>
                </w:p>
              </w:tc>
            </w:tr>
          </w:tbl>
          <w:p w:rsidR="000F598E" w:rsidRPr="008E25C1" w:rsidRDefault="000F598E" w:rsidP="000F598E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:rsidR="00DA0B55" w:rsidRPr="0003619E" w:rsidRDefault="00DA0B55" w:rsidP="00A61336">
            <w:pPr>
              <w:spacing w:after="75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03619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Desired impact:</w:t>
            </w:r>
          </w:p>
          <w:p w:rsidR="00DA0B55" w:rsidRPr="008E25C1" w:rsidRDefault="00DA0B55" w:rsidP="00A61336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eastAsia="Times New Roman" w:cs="Times New Roman"/>
                <w:color w:val="002060"/>
                <w:lang w:eastAsia="en-GB"/>
              </w:rPr>
            </w:pPr>
            <w:r w:rsidRPr="008E25C1">
              <w:rPr>
                <w:rFonts w:eastAsia="Times New Roman" w:cs="Calibri"/>
                <w:color w:val="000000"/>
                <w:lang w:eastAsia="en-GB"/>
              </w:rPr>
              <w:t>A significant improvement in reading age and comprehension as measured by Hodder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8E25C1">
              <w:rPr>
                <w:rFonts w:eastAsia="Times New Roman" w:cs="Calibri"/>
                <w:color w:val="000000"/>
                <w:lang w:eastAsia="en-GB"/>
              </w:rPr>
              <w:t xml:space="preserve">Reading Score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for years 7 and 8 </w:t>
            </w:r>
            <w:r w:rsidRPr="008E25C1">
              <w:rPr>
                <w:rFonts w:eastAsia="Times New Roman" w:cs="Calibri"/>
                <w:color w:val="000000"/>
                <w:lang w:eastAsia="en-GB"/>
              </w:rPr>
              <w:t>(Word and Sentence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or Comprehension</w:t>
            </w:r>
            <w:r w:rsidRPr="008E25C1">
              <w:rPr>
                <w:rFonts w:eastAsia="Times New Roman" w:cs="Calibri"/>
                <w:color w:val="000000"/>
                <w:lang w:eastAsia="en-GB"/>
              </w:rPr>
              <w:t>)</w:t>
            </w:r>
            <w:r w:rsidR="004D2D3B">
              <w:rPr>
                <w:rFonts w:eastAsia="Times New Roman" w:cs="Calibri"/>
                <w:color w:val="000000"/>
                <w:lang w:eastAsia="en-GB"/>
              </w:rPr>
              <w:t>.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The Salford reading test is used for our lowest achieving readers as it highlights smaller steps of progression</w:t>
            </w:r>
            <w:r w:rsidR="004D2D3B">
              <w:rPr>
                <w:rFonts w:eastAsia="Times New Roman" w:cs="Calibri"/>
                <w:color w:val="000000"/>
                <w:lang w:eastAsia="en-GB"/>
              </w:rPr>
              <w:t>.</w:t>
            </w:r>
          </w:p>
          <w:p w:rsidR="00DA0B55" w:rsidRPr="008E25C1" w:rsidRDefault="00DA0B55" w:rsidP="00A61336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E25C1">
              <w:rPr>
                <w:rFonts w:eastAsia="Times New Roman" w:cs="Calibri"/>
                <w:color w:val="000000"/>
                <w:lang w:eastAsia="en-GB"/>
              </w:rPr>
              <w:t>A significant improvement in basic numeracy skills as measured by a Level 3 test or specific topic test as appropriate.</w:t>
            </w:r>
          </w:p>
          <w:p w:rsidR="00DA0B55" w:rsidRPr="008E25C1" w:rsidRDefault="00DA0B55" w:rsidP="00A61336">
            <w:pPr>
              <w:pStyle w:val="NoSpacing"/>
              <w:numPr>
                <w:ilvl w:val="0"/>
                <w:numId w:val="1"/>
              </w:numPr>
            </w:pPr>
            <w:r w:rsidRPr="008E25C1">
              <w:t>A significant improvement in the motivation, confidence and attitudes towards reading and numeracy.</w:t>
            </w:r>
          </w:p>
          <w:p w:rsidR="00DA0B55" w:rsidRDefault="00DA0B55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E1185F" w:rsidRDefault="00E1185F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E1185F" w:rsidRDefault="00E1185F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E1185F" w:rsidRDefault="00E1185F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E1185F" w:rsidRDefault="00E1185F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E1185F" w:rsidRDefault="00E1185F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  <w:p w:rsidR="00DA0B55" w:rsidRPr="008E25C1" w:rsidRDefault="00DA0B55" w:rsidP="00A61336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</w:tc>
      </w:tr>
    </w:tbl>
    <w:p w:rsidR="00DA0B55" w:rsidRPr="0003619E" w:rsidRDefault="00DA0B55" w:rsidP="00DA0B55">
      <w:pPr>
        <w:spacing w:after="75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03619E"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lastRenderedPageBreak/>
        <w:t xml:space="preserve">Reading and Numeracy Catch-up Intervention for Year 7 </w:t>
      </w:r>
    </w:p>
    <w:p w:rsidR="00DA0B55" w:rsidRDefault="00DA0B55" w:rsidP="00DA0B55">
      <w:pPr>
        <w:pStyle w:val="ListParagraph"/>
        <w:numPr>
          <w:ilvl w:val="0"/>
          <w:numId w:val="2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2908B4">
        <w:rPr>
          <w:rFonts w:eastAsia="Times New Roman" w:cs="Calibri"/>
          <w:color w:val="000000"/>
          <w:lang w:eastAsia="en-GB"/>
        </w:rPr>
        <w:t xml:space="preserve">The higher national standards introduced in 2016 for Key Stage 2 SATS resulted in </w:t>
      </w:r>
      <w:r w:rsidR="00E16F54">
        <w:rPr>
          <w:rFonts w:eastAsia="Times New Roman" w:cs="Calibri"/>
          <w:color w:val="000000"/>
          <w:lang w:eastAsia="en-GB"/>
        </w:rPr>
        <w:t xml:space="preserve">59 students </w:t>
      </w:r>
      <w:r w:rsidRPr="002908B4">
        <w:rPr>
          <w:rFonts w:eastAsia="Times New Roman" w:cs="Calibri"/>
          <w:color w:val="000000"/>
          <w:lang w:eastAsia="en-GB"/>
        </w:rPr>
        <w:t xml:space="preserve"> being reported as </w:t>
      </w:r>
      <w:r w:rsidR="00E1185F">
        <w:rPr>
          <w:rFonts w:eastAsia="Times New Roman" w:cs="Calibri"/>
          <w:color w:val="000000"/>
          <w:lang w:eastAsia="en-GB"/>
        </w:rPr>
        <w:t xml:space="preserve">‘Not Achieved National </w:t>
      </w:r>
      <w:r w:rsidRPr="002908B4">
        <w:rPr>
          <w:rFonts w:eastAsia="Times New Roman" w:cs="Calibri"/>
          <w:color w:val="000000"/>
          <w:lang w:eastAsia="en-GB"/>
        </w:rPr>
        <w:t xml:space="preserve"> Average</w:t>
      </w:r>
      <w:r w:rsidR="00E1185F">
        <w:rPr>
          <w:rFonts w:eastAsia="Times New Roman" w:cs="Calibri"/>
          <w:color w:val="000000"/>
          <w:lang w:eastAsia="en-GB"/>
        </w:rPr>
        <w:t>’</w:t>
      </w:r>
      <w:r w:rsidRPr="002908B4">
        <w:rPr>
          <w:rFonts w:eastAsia="Times New Roman" w:cs="Calibri"/>
          <w:color w:val="000000"/>
          <w:lang w:eastAsia="en-GB"/>
        </w:rPr>
        <w:t xml:space="preserve"> in reading</w:t>
      </w:r>
      <w:r w:rsidR="00840E47">
        <w:rPr>
          <w:rFonts w:eastAsia="Times New Roman" w:cs="Calibri"/>
          <w:color w:val="000000"/>
          <w:lang w:eastAsia="en-GB"/>
        </w:rPr>
        <w:t xml:space="preserve"> and/or </w:t>
      </w:r>
      <w:r>
        <w:rPr>
          <w:rFonts w:eastAsia="Times New Roman" w:cs="Calibri"/>
          <w:color w:val="000000"/>
          <w:lang w:eastAsia="en-GB"/>
        </w:rPr>
        <w:t xml:space="preserve"> maths</w:t>
      </w:r>
      <w:r w:rsidR="00840E47">
        <w:rPr>
          <w:rFonts w:eastAsia="Times New Roman" w:cs="Calibri"/>
          <w:color w:val="000000"/>
          <w:lang w:eastAsia="en-GB"/>
        </w:rPr>
        <w:t>.</w:t>
      </w:r>
      <w:r>
        <w:rPr>
          <w:rFonts w:eastAsia="Times New Roman" w:cs="Calibri"/>
          <w:color w:val="000000"/>
          <w:lang w:eastAsia="en-GB"/>
        </w:rPr>
        <w:t xml:space="preserve"> </w:t>
      </w:r>
      <w:r w:rsidR="00E16F54">
        <w:rPr>
          <w:rFonts w:eastAsia="Times New Roman" w:cs="Calibri"/>
          <w:color w:val="000000"/>
          <w:lang w:eastAsia="en-GB"/>
        </w:rPr>
        <w:t>An additional two students who joined year 7 have increased the total number of students to 61. Of these 61 students, w</w:t>
      </w:r>
      <w:r w:rsidR="00A61336">
        <w:rPr>
          <w:rFonts w:eastAsia="Times New Roman" w:cs="Calibri"/>
          <w:color w:val="000000"/>
          <w:lang w:eastAsia="en-GB"/>
        </w:rPr>
        <w:t xml:space="preserve">e have identified 33 students </w:t>
      </w:r>
      <w:r w:rsidR="009C47BE">
        <w:rPr>
          <w:rFonts w:eastAsia="Times New Roman" w:cs="Calibri"/>
          <w:color w:val="000000"/>
          <w:lang w:eastAsia="en-GB"/>
        </w:rPr>
        <w:t>who have</w:t>
      </w:r>
      <w:r>
        <w:rPr>
          <w:rFonts w:eastAsia="Times New Roman" w:cs="Calibri"/>
          <w:color w:val="000000"/>
          <w:lang w:eastAsia="en-GB"/>
        </w:rPr>
        <w:t xml:space="preserve"> reading or maths levels below the previously required level of 4c</w:t>
      </w:r>
      <w:r w:rsidR="009C47BE">
        <w:rPr>
          <w:rFonts w:eastAsia="Times New Roman" w:cs="Calibri"/>
          <w:color w:val="000000"/>
          <w:lang w:eastAsia="en-GB"/>
        </w:rPr>
        <w:t xml:space="preserve"> and </w:t>
      </w:r>
      <w:r w:rsidR="00E1185F">
        <w:rPr>
          <w:rFonts w:eastAsia="Times New Roman" w:cs="Calibri"/>
          <w:color w:val="000000"/>
          <w:lang w:eastAsia="en-GB"/>
        </w:rPr>
        <w:t>have been</w:t>
      </w:r>
      <w:r w:rsidR="009C47BE">
        <w:rPr>
          <w:rFonts w:eastAsia="Times New Roman" w:cs="Calibri"/>
          <w:color w:val="000000"/>
          <w:lang w:eastAsia="en-GB"/>
        </w:rPr>
        <w:t xml:space="preserve"> </w:t>
      </w:r>
      <w:r w:rsidR="00E1185F">
        <w:rPr>
          <w:rFonts w:eastAsia="Times New Roman" w:cs="Calibri"/>
          <w:color w:val="000000"/>
          <w:lang w:eastAsia="en-GB"/>
        </w:rPr>
        <w:t>working actively</w:t>
      </w:r>
      <w:r w:rsidR="009C47BE">
        <w:rPr>
          <w:rFonts w:eastAsia="Times New Roman" w:cs="Calibri"/>
          <w:color w:val="000000"/>
          <w:lang w:eastAsia="en-GB"/>
        </w:rPr>
        <w:t xml:space="preserve"> with these students</w:t>
      </w:r>
      <w:r w:rsidR="00E1185F">
        <w:rPr>
          <w:rFonts w:eastAsia="Times New Roman" w:cs="Calibri"/>
          <w:color w:val="000000"/>
          <w:lang w:eastAsia="en-GB"/>
        </w:rPr>
        <w:t xml:space="preserve"> since September 2016</w:t>
      </w:r>
      <w:r w:rsidR="009C47BE">
        <w:rPr>
          <w:rFonts w:eastAsia="Times New Roman" w:cs="Calibri"/>
          <w:color w:val="000000"/>
          <w:lang w:eastAsia="en-GB"/>
        </w:rPr>
        <w:t xml:space="preserve">.  </w:t>
      </w:r>
      <w:r w:rsidR="00E1185F">
        <w:rPr>
          <w:rFonts w:eastAsia="Times New Roman" w:cs="Calibri"/>
          <w:color w:val="000000"/>
          <w:lang w:eastAsia="en-GB"/>
        </w:rPr>
        <w:t>The remaining students have been offered appropriately tailored specific interventions over the summer terms.</w:t>
      </w:r>
    </w:p>
    <w:p w:rsidR="00DA0B55" w:rsidRDefault="00DA0B55" w:rsidP="00DA0B55">
      <w:pPr>
        <w:spacing w:after="75" w:line="240" w:lineRule="auto"/>
        <w:rPr>
          <w:rFonts w:eastAsia="Times New Roman" w:cs="Calibri"/>
          <w:color w:val="000000"/>
          <w:lang w:eastAsia="en-GB"/>
        </w:rPr>
      </w:pPr>
    </w:p>
    <w:p w:rsidR="00DA0B55" w:rsidRPr="0003619E" w:rsidRDefault="00DA0B55" w:rsidP="00DA0B55">
      <w:pPr>
        <w:spacing w:after="75" w:line="240" w:lineRule="auto"/>
        <w:rPr>
          <w:rFonts w:eastAsia="Times New Roman" w:cs="Calibri"/>
          <w:b/>
          <w:color w:val="000000"/>
          <w:sz w:val="28"/>
          <w:szCs w:val="28"/>
          <w:lang w:eastAsia="en-GB"/>
        </w:rPr>
      </w:pPr>
      <w:r w:rsidRPr="0003619E">
        <w:rPr>
          <w:rFonts w:eastAsia="Times New Roman" w:cs="Calibri"/>
          <w:b/>
          <w:color w:val="000000"/>
          <w:sz w:val="28"/>
          <w:szCs w:val="28"/>
          <w:lang w:eastAsia="en-GB"/>
        </w:rPr>
        <w:t>Reading Catch-Up Intervention for Year 7</w:t>
      </w:r>
    </w:p>
    <w:p w:rsidR="00DA0B55" w:rsidRDefault="00DA0B55" w:rsidP="00DA0B55">
      <w:pPr>
        <w:pStyle w:val="ListParagraph"/>
        <w:numPr>
          <w:ilvl w:val="0"/>
          <w:numId w:val="2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By the end of term </w:t>
      </w:r>
      <w:r w:rsidR="00E1185F">
        <w:rPr>
          <w:rFonts w:eastAsia="Times New Roman" w:cs="Calibri"/>
          <w:color w:val="000000"/>
          <w:lang w:eastAsia="en-GB"/>
        </w:rPr>
        <w:t xml:space="preserve">6 </w:t>
      </w:r>
      <w:r>
        <w:rPr>
          <w:rFonts w:eastAsia="Times New Roman" w:cs="Calibri"/>
          <w:color w:val="000000"/>
          <w:lang w:eastAsia="en-GB"/>
        </w:rPr>
        <w:t xml:space="preserve">all the </w:t>
      </w:r>
      <w:r w:rsidR="00E1185F">
        <w:rPr>
          <w:rFonts w:eastAsia="Times New Roman" w:cs="Calibri"/>
          <w:color w:val="000000"/>
          <w:lang w:eastAsia="en-GB"/>
        </w:rPr>
        <w:t>reading</w:t>
      </w:r>
      <w:r w:rsidR="008549F9">
        <w:rPr>
          <w:rFonts w:eastAsia="Times New Roman" w:cs="Calibri"/>
          <w:color w:val="000000"/>
          <w:lang w:eastAsia="en-GB"/>
        </w:rPr>
        <w:t xml:space="preserve"> </w:t>
      </w:r>
      <w:r>
        <w:rPr>
          <w:rFonts w:eastAsia="Times New Roman" w:cs="Calibri"/>
          <w:color w:val="000000"/>
          <w:lang w:eastAsia="en-GB"/>
        </w:rPr>
        <w:t>year 7 reading catch up students</w:t>
      </w:r>
      <w:r w:rsidR="00E1185F">
        <w:rPr>
          <w:rFonts w:eastAsia="Times New Roman" w:cs="Calibri"/>
          <w:color w:val="000000"/>
          <w:lang w:eastAsia="en-GB"/>
        </w:rPr>
        <w:t xml:space="preserve"> (with the exception of two students who are in our highest achieving ability set) </w:t>
      </w:r>
      <w:r>
        <w:rPr>
          <w:rFonts w:eastAsia="Times New Roman" w:cs="Calibri"/>
          <w:color w:val="000000"/>
          <w:lang w:eastAsia="en-GB"/>
        </w:rPr>
        <w:t>will have received a programme of intervention.  Typically t</w:t>
      </w:r>
      <w:r w:rsidRPr="006E61A1">
        <w:rPr>
          <w:rFonts w:eastAsia="Times New Roman" w:cs="Calibri"/>
          <w:color w:val="000000"/>
          <w:lang w:eastAsia="en-GB"/>
        </w:rPr>
        <w:t>he students</w:t>
      </w:r>
      <w:r>
        <w:rPr>
          <w:rFonts w:eastAsia="Times New Roman" w:cs="Calibri"/>
          <w:color w:val="000000"/>
          <w:lang w:eastAsia="en-GB"/>
        </w:rPr>
        <w:t xml:space="preserve"> </w:t>
      </w:r>
      <w:r w:rsidRPr="006E61A1">
        <w:rPr>
          <w:rFonts w:eastAsia="Times New Roman" w:cs="Calibri"/>
          <w:color w:val="000000"/>
          <w:lang w:eastAsia="en-GB"/>
        </w:rPr>
        <w:t>work</w:t>
      </w:r>
      <w:r>
        <w:rPr>
          <w:rFonts w:eastAsia="Times New Roman" w:cs="Calibri"/>
          <w:color w:val="000000"/>
          <w:lang w:eastAsia="en-GB"/>
        </w:rPr>
        <w:t xml:space="preserve"> </w:t>
      </w:r>
      <w:r w:rsidRPr="006E61A1">
        <w:rPr>
          <w:rFonts w:eastAsia="Times New Roman" w:cs="Calibri"/>
          <w:color w:val="000000"/>
          <w:lang w:eastAsia="en-GB"/>
        </w:rPr>
        <w:t>in small groups of three or four students, led either by the Catch up Co</w:t>
      </w:r>
      <w:r w:rsidR="009350BA">
        <w:rPr>
          <w:rFonts w:eastAsia="Times New Roman" w:cs="Calibri"/>
          <w:color w:val="000000"/>
          <w:lang w:eastAsia="en-GB"/>
        </w:rPr>
        <w:t>-</w:t>
      </w:r>
      <w:r w:rsidRPr="006E61A1">
        <w:rPr>
          <w:rFonts w:eastAsia="Times New Roman" w:cs="Calibri"/>
          <w:color w:val="000000"/>
          <w:lang w:eastAsia="en-GB"/>
        </w:rPr>
        <w:t>ordinator or the Assistant Catch-up Co</w:t>
      </w:r>
      <w:r w:rsidR="009350BA">
        <w:rPr>
          <w:rFonts w:eastAsia="Times New Roman" w:cs="Calibri"/>
          <w:color w:val="000000"/>
          <w:lang w:eastAsia="en-GB"/>
        </w:rPr>
        <w:t>-</w:t>
      </w:r>
      <w:r w:rsidRPr="006E61A1">
        <w:rPr>
          <w:rFonts w:eastAsia="Times New Roman" w:cs="Calibri"/>
          <w:color w:val="000000"/>
          <w:lang w:eastAsia="en-GB"/>
        </w:rPr>
        <w:t xml:space="preserve">ordinator. </w:t>
      </w:r>
      <w:r w:rsidR="00D66ECE">
        <w:rPr>
          <w:rFonts w:eastAsia="Times New Roman" w:cs="Calibri"/>
          <w:color w:val="000000"/>
          <w:lang w:eastAsia="en-GB"/>
        </w:rPr>
        <w:t>Generally e</w:t>
      </w:r>
      <w:r w:rsidRPr="006E61A1">
        <w:rPr>
          <w:rFonts w:eastAsia="Times New Roman" w:cs="Calibri"/>
          <w:color w:val="000000"/>
          <w:lang w:eastAsia="en-GB"/>
        </w:rPr>
        <w:t>ach student will attend one 60 minute session per week over a term. Students are withdrawn from specific timetabled lessons to accommodate the intervention.</w:t>
      </w:r>
    </w:p>
    <w:p w:rsidR="00DA0B55" w:rsidRDefault="00DA0B55" w:rsidP="00DA0B55">
      <w:pPr>
        <w:pStyle w:val="ListParagraph"/>
        <w:numPr>
          <w:ilvl w:val="0"/>
          <w:numId w:val="2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D14B8E">
        <w:rPr>
          <w:rFonts w:eastAsia="Times New Roman" w:cs="Calibri"/>
          <w:color w:val="000000"/>
          <w:lang w:eastAsia="en-GB"/>
        </w:rPr>
        <w:t xml:space="preserve">Intervention was prioritised in September for our lowest attaining </w:t>
      </w:r>
      <w:r w:rsidR="008549F9">
        <w:rPr>
          <w:rFonts w:eastAsia="Times New Roman" w:cs="Calibri"/>
          <w:color w:val="000000"/>
          <w:lang w:eastAsia="en-GB"/>
        </w:rPr>
        <w:t xml:space="preserve">funded </w:t>
      </w:r>
      <w:r w:rsidRPr="00D14B8E">
        <w:rPr>
          <w:rFonts w:eastAsia="Times New Roman" w:cs="Calibri"/>
          <w:color w:val="000000"/>
          <w:lang w:eastAsia="en-GB"/>
        </w:rPr>
        <w:t xml:space="preserve">year 7 </w:t>
      </w:r>
      <w:r w:rsidR="008549F9">
        <w:rPr>
          <w:rFonts w:eastAsia="Times New Roman" w:cs="Calibri"/>
          <w:color w:val="000000"/>
          <w:lang w:eastAsia="en-GB"/>
        </w:rPr>
        <w:t xml:space="preserve">catch up students </w:t>
      </w:r>
      <w:r w:rsidRPr="00D14B8E">
        <w:rPr>
          <w:rFonts w:eastAsia="Times New Roman" w:cs="Calibri"/>
          <w:color w:val="000000"/>
          <w:lang w:eastAsia="en-GB"/>
        </w:rPr>
        <w:t xml:space="preserve">and a number of these students </w:t>
      </w:r>
      <w:r w:rsidR="00D66ECE">
        <w:rPr>
          <w:rFonts w:eastAsia="Times New Roman" w:cs="Calibri"/>
          <w:color w:val="000000"/>
          <w:lang w:eastAsia="en-GB"/>
        </w:rPr>
        <w:t xml:space="preserve">have </w:t>
      </w:r>
      <w:r w:rsidRPr="00D14B8E">
        <w:rPr>
          <w:rFonts w:eastAsia="Times New Roman" w:cs="Calibri"/>
          <w:color w:val="000000"/>
          <w:lang w:eastAsia="en-GB"/>
        </w:rPr>
        <w:t>undertak</w:t>
      </w:r>
      <w:r w:rsidR="00D66ECE">
        <w:rPr>
          <w:rFonts w:eastAsia="Times New Roman" w:cs="Calibri"/>
          <w:color w:val="000000"/>
          <w:lang w:eastAsia="en-GB"/>
        </w:rPr>
        <w:t xml:space="preserve">en </w:t>
      </w:r>
      <w:r w:rsidRPr="00D14B8E">
        <w:rPr>
          <w:rFonts w:eastAsia="Times New Roman" w:cs="Calibri"/>
          <w:color w:val="000000"/>
          <w:lang w:eastAsia="en-GB"/>
        </w:rPr>
        <w:t>additional intervention</w:t>
      </w:r>
      <w:r w:rsidR="008549F9">
        <w:rPr>
          <w:rFonts w:eastAsia="Times New Roman" w:cs="Calibri"/>
          <w:color w:val="000000"/>
          <w:lang w:eastAsia="en-GB"/>
        </w:rPr>
        <w:t>s</w:t>
      </w:r>
      <w:r w:rsidRPr="00D14B8E">
        <w:rPr>
          <w:rFonts w:eastAsia="Times New Roman" w:cs="Calibri"/>
          <w:color w:val="000000"/>
          <w:lang w:eastAsia="en-GB"/>
        </w:rPr>
        <w:t xml:space="preserve"> over terms 4 – 6.  This </w:t>
      </w:r>
      <w:r w:rsidR="00D66ECE">
        <w:rPr>
          <w:rFonts w:eastAsia="Times New Roman" w:cs="Calibri"/>
          <w:color w:val="000000"/>
          <w:lang w:eastAsia="en-GB"/>
        </w:rPr>
        <w:t>has taken</w:t>
      </w:r>
      <w:r w:rsidRPr="00D14B8E">
        <w:rPr>
          <w:rFonts w:eastAsia="Times New Roman" w:cs="Calibri"/>
          <w:color w:val="000000"/>
          <w:lang w:eastAsia="en-GB"/>
        </w:rPr>
        <w:t xml:space="preserve"> place in the form of additional small group work focusing on specific areas of phonics and group reading</w:t>
      </w:r>
      <w:r>
        <w:rPr>
          <w:rFonts w:eastAsia="Times New Roman" w:cs="Calibri"/>
          <w:color w:val="000000"/>
          <w:lang w:eastAsia="en-GB"/>
        </w:rPr>
        <w:t>,</w:t>
      </w:r>
      <w:r w:rsidRPr="00D14B8E">
        <w:rPr>
          <w:rFonts w:eastAsia="Times New Roman" w:cs="Calibri"/>
          <w:color w:val="000000"/>
          <w:lang w:eastAsia="en-GB"/>
        </w:rPr>
        <w:t xml:space="preserve"> or for some students we may offer individualised intervention in the form of a phonics programme. We are fortunate to have the assistance of a volunteer to work with some of these students and our year 10 prefects </w:t>
      </w:r>
      <w:r w:rsidR="00D66ECE">
        <w:rPr>
          <w:rFonts w:eastAsia="Times New Roman" w:cs="Calibri"/>
          <w:color w:val="000000"/>
          <w:lang w:eastAsia="en-GB"/>
        </w:rPr>
        <w:t xml:space="preserve">have also </w:t>
      </w:r>
      <w:r w:rsidR="00D66ECE" w:rsidRPr="00D14B8E">
        <w:rPr>
          <w:rFonts w:eastAsia="Times New Roman" w:cs="Calibri"/>
          <w:color w:val="000000"/>
          <w:lang w:eastAsia="en-GB"/>
        </w:rPr>
        <w:t>assist</w:t>
      </w:r>
      <w:r w:rsidR="00D66ECE">
        <w:rPr>
          <w:rFonts w:eastAsia="Times New Roman" w:cs="Calibri"/>
          <w:color w:val="000000"/>
          <w:lang w:eastAsia="en-GB"/>
        </w:rPr>
        <w:t xml:space="preserve">ed </w:t>
      </w:r>
      <w:r w:rsidR="00D66ECE" w:rsidRPr="00D14B8E">
        <w:rPr>
          <w:rFonts w:eastAsia="Times New Roman" w:cs="Calibri"/>
          <w:color w:val="000000"/>
          <w:lang w:eastAsia="en-GB"/>
        </w:rPr>
        <w:t>with</w:t>
      </w:r>
      <w:r w:rsidRPr="00D14B8E">
        <w:rPr>
          <w:rFonts w:eastAsia="Times New Roman" w:cs="Calibri"/>
          <w:color w:val="000000"/>
          <w:lang w:eastAsia="en-GB"/>
        </w:rPr>
        <w:t xml:space="preserve"> form time reading once a week.</w:t>
      </w:r>
    </w:p>
    <w:p w:rsidR="00DA0B55" w:rsidRDefault="00DA0B55" w:rsidP="00DA0B55">
      <w:pPr>
        <w:pStyle w:val="ListParagraph"/>
        <w:numPr>
          <w:ilvl w:val="0"/>
          <w:numId w:val="2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D14B8E">
        <w:rPr>
          <w:rFonts w:eastAsia="Times New Roman" w:cs="Calibri"/>
          <w:color w:val="000000"/>
          <w:lang w:eastAsia="en-GB"/>
        </w:rPr>
        <w:t>Based on the reading abilities/ages presented to us at the start of year 7, it will be necessary to work with some students over the long term and into subsequent academic years.</w:t>
      </w:r>
    </w:p>
    <w:p w:rsidR="00DA0B55" w:rsidRDefault="00DA0B55" w:rsidP="00DA0B55">
      <w:pPr>
        <w:spacing w:after="75" w:line="240" w:lineRule="auto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</w:p>
    <w:p w:rsidR="00DA0B55" w:rsidRPr="0003619E" w:rsidRDefault="00DA0B55" w:rsidP="00DA0B55">
      <w:pPr>
        <w:spacing w:after="75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03619E"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>Numeracy Catch-up Intervention for Year 7</w:t>
      </w:r>
    </w:p>
    <w:p w:rsidR="00454B36" w:rsidRDefault="00454B36" w:rsidP="00DA0B55">
      <w:pPr>
        <w:pStyle w:val="ListParagraph"/>
        <w:numPr>
          <w:ilvl w:val="0"/>
          <w:numId w:val="3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By the end of term 6 all the maths year 7 reading catch up students (with the exception of two students) will have received a programme of intervention.  </w:t>
      </w:r>
    </w:p>
    <w:p w:rsidR="00DA0B55" w:rsidRPr="000E2294" w:rsidRDefault="00DA0B55" w:rsidP="00DA0B55">
      <w:pPr>
        <w:pStyle w:val="ListParagraph"/>
        <w:numPr>
          <w:ilvl w:val="0"/>
          <w:numId w:val="3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0E2294">
        <w:rPr>
          <w:rFonts w:eastAsia="Times New Roman" w:cs="Calibri"/>
          <w:color w:val="000000"/>
          <w:lang w:eastAsia="en-GB"/>
        </w:rPr>
        <w:t xml:space="preserve">The majority of the </w:t>
      </w:r>
      <w:r w:rsidR="008549F9">
        <w:rPr>
          <w:rFonts w:eastAsia="Times New Roman" w:cs="Calibri"/>
          <w:color w:val="000000"/>
          <w:lang w:eastAsia="en-GB"/>
        </w:rPr>
        <w:t xml:space="preserve">funded </w:t>
      </w:r>
      <w:r w:rsidRPr="000E2294">
        <w:rPr>
          <w:rFonts w:eastAsia="Times New Roman" w:cs="Calibri"/>
          <w:color w:val="000000"/>
          <w:lang w:eastAsia="en-GB"/>
        </w:rPr>
        <w:t xml:space="preserve">maths catch up students are in Teaching Group A and receive an additional maths lesson a week which focuses on core maths skills.  This class is supported by an additional Teaching Assistant. In addition, we </w:t>
      </w:r>
      <w:r>
        <w:rPr>
          <w:rFonts w:eastAsia="Times New Roman" w:cs="Calibri"/>
          <w:color w:val="000000"/>
          <w:lang w:eastAsia="en-GB"/>
        </w:rPr>
        <w:t xml:space="preserve">have been </w:t>
      </w:r>
      <w:r w:rsidRPr="000E2294">
        <w:rPr>
          <w:rFonts w:eastAsia="Times New Roman" w:cs="Calibri"/>
          <w:color w:val="000000"/>
          <w:lang w:eastAsia="en-GB"/>
        </w:rPr>
        <w:t>able to support some of our lowest prior attaining students in Teaching Group A with small group intervention in addition to their weekly class intervention.</w:t>
      </w:r>
    </w:p>
    <w:p w:rsidR="00DA0B55" w:rsidRPr="000311A5" w:rsidRDefault="00454B36" w:rsidP="00DA0B55">
      <w:pPr>
        <w:pStyle w:val="ListParagraph"/>
        <w:numPr>
          <w:ilvl w:val="0"/>
          <w:numId w:val="3"/>
        </w:numPr>
        <w:spacing w:after="75" w:line="240" w:lineRule="auto"/>
        <w:rPr>
          <w:rFonts w:eastAsia="Times New Roman" w:cs="Times New Roman"/>
          <w:lang w:eastAsia="en-GB"/>
        </w:rPr>
      </w:pPr>
      <w:r>
        <w:rPr>
          <w:rFonts w:eastAsia="Times New Roman" w:cs="Calibri"/>
          <w:color w:val="000000"/>
          <w:lang w:eastAsia="en-GB"/>
        </w:rPr>
        <w:t>The maths catch students i</w:t>
      </w:r>
      <w:r w:rsidR="00DA0B55" w:rsidRPr="000E2294">
        <w:rPr>
          <w:rFonts w:eastAsia="Times New Roman" w:cs="Calibri"/>
          <w:color w:val="000000"/>
          <w:lang w:eastAsia="en-GB"/>
        </w:rPr>
        <w:t>n Teaching Groups B and C do not receive an additional</w:t>
      </w:r>
      <w:r w:rsidR="008549F9">
        <w:rPr>
          <w:rFonts w:eastAsia="Times New Roman" w:cs="Calibri"/>
          <w:color w:val="000000"/>
          <w:lang w:eastAsia="en-GB"/>
        </w:rPr>
        <w:t xml:space="preserve"> class</w:t>
      </w:r>
      <w:r w:rsidR="00DA0B55" w:rsidRPr="000E2294">
        <w:rPr>
          <w:rFonts w:eastAsia="Times New Roman" w:cs="Calibri"/>
          <w:color w:val="000000"/>
          <w:lang w:eastAsia="en-GB"/>
        </w:rPr>
        <w:t xml:space="preserve"> weekly intervention lesson</w:t>
      </w:r>
      <w:r w:rsidR="008549F9">
        <w:rPr>
          <w:rFonts w:eastAsia="Times New Roman" w:cs="Calibri"/>
          <w:color w:val="000000"/>
          <w:lang w:eastAsia="en-GB"/>
        </w:rPr>
        <w:t xml:space="preserve"> as these sets are offered Modern Foreign languages</w:t>
      </w:r>
      <w:r>
        <w:rPr>
          <w:rFonts w:eastAsia="Times New Roman" w:cs="Calibri"/>
          <w:color w:val="000000"/>
          <w:lang w:eastAsia="en-GB"/>
        </w:rPr>
        <w:t xml:space="preserve"> instead. </w:t>
      </w:r>
      <w:r w:rsidR="00263C09">
        <w:rPr>
          <w:rFonts w:eastAsia="Times New Roman" w:cs="Calibri"/>
          <w:color w:val="000000"/>
          <w:lang w:eastAsia="en-GB"/>
        </w:rPr>
        <w:t xml:space="preserve">Having assessed their recent levels, </w:t>
      </w:r>
      <w:r w:rsidR="000311A5">
        <w:rPr>
          <w:rFonts w:eastAsia="Times New Roman" w:cs="Calibri"/>
          <w:color w:val="000000"/>
          <w:lang w:eastAsia="en-GB"/>
        </w:rPr>
        <w:t>a number of these students have been</w:t>
      </w:r>
      <w:r w:rsidR="00DA0B55" w:rsidRPr="000E2294">
        <w:rPr>
          <w:rFonts w:eastAsia="Times New Roman" w:cs="Calibri"/>
          <w:color w:val="000000"/>
          <w:lang w:eastAsia="en-GB"/>
        </w:rPr>
        <w:t xml:space="preserve"> offered small group maths intervention over terms </w:t>
      </w:r>
      <w:r w:rsidR="00DA0B55">
        <w:rPr>
          <w:rFonts w:eastAsia="Times New Roman" w:cs="Calibri"/>
          <w:color w:val="000000"/>
          <w:lang w:eastAsia="en-GB"/>
        </w:rPr>
        <w:t xml:space="preserve">5 and 6 of this academic year. </w:t>
      </w:r>
    </w:p>
    <w:p w:rsidR="000311A5" w:rsidRDefault="000311A5" w:rsidP="00DA0B55">
      <w:pPr>
        <w:pStyle w:val="ListParagraph"/>
        <w:numPr>
          <w:ilvl w:val="0"/>
          <w:numId w:val="3"/>
        </w:numPr>
        <w:spacing w:after="75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In term 6, we have also been able to offer our maths catch up students in teaching groups B, C and D an additional weekly maths catch up lesson in place of a timetabled lesson. A number of Set </w:t>
      </w:r>
      <w:proofErr w:type="gramStart"/>
      <w:r>
        <w:rPr>
          <w:rFonts w:eastAsia="Times New Roman" w:cs="Times New Roman"/>
          <w:lang w:eastAsia="en-GB"/>
        </w:rPr>
        <w:t>A</w:t>
      </w:r>
      <w:proofErr w:type="gramEnd"/>
      <w:r>
        <w:rPr>
          <w:rFonts w:eastAsia="Times New Roman" w:cs="Times New Roman"/>
          <w:lang w:eastAsia="en-GB"/>
        </w:rPr>
        <w:t xml:space="preserve"> students have also benefitted from this too.</w:t>
      </w:r>
    </w:p>
    <w:p w:rsidR="00DA0B55" w:rsidRDefault="00DA0B55" w:rsidP="00DA0B55">
      <w:pPr>
        <w:pStyle w:val="ListParagraph"/>
        <w:rPr>
          <w:rFonts w:eastAsia="Times New Roman" w:cs="Times New Roman"/>
          <w:lang w:eastAsia="en-GB"/>
        </w:rPr>
      </w:pPr>
    </w:p>
    <w:p w:rsidR="00DA0B55" w:rsidRDefault="00DA0B55" w:rsidP="00DA0B55">
      <w:pPr>
        <w:pStyle w:val="ListParagraph"/>
        <w:rPr>
          <w:rFonts w:eastAsia="Times New Roman" w:cs="Times New Roman"/>
          <w:lang w:eastAsia="en-GB"/>
        </w:rPr>
      </w:pPr>
    </w:p>
    <w:p w:rsidR="00DA0B55" w:rsidRPr="00B12E78" w:rsidRDefault="00DA0B55" w:rsidP="00DA0B55">
      <w:pPr>
        <w:pStyle w:val="ListParagraph"/>
        <w:rPr>
          <w:rFonts w:eastAsia="Times New Roman" w:cs="Times New Roman"/>
          <w:lang w:eastAsia="en-GB"/>
        </w:rPr>
      </w:pPr>
    </w:p>
    <w:p w:rsidR="00DA0B55" w:rsidRPr="0003619E" w:rsidRDefault="00DA0B55" w:rsidP="00DA0B55">
      <w:pPr>
        <w:spacing w:after="75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 w:rsidRPr="0003619E">
        <w:rPr>
          <w:rFonts w:eastAsia="Times New Roman" w:cs="Times New Roman"/>
          <w:b/>
          <w:sz w:val="28"/>
          <w:szCs w:val="28"/>
          <w:lang w:eastAsia="en-GB"/>
        </w:rPr>
        <w:lastRenderedPageBreak/>
        <w:t>Year 7 form Time Activities</w:t>
      </w:r>
    </w:p>
    <w:p w:rsidR="00DA0B55" w:rsidRDefault="00DA0B55" w:rsidP="00DA0B55">
      <w:pPr>
        <w:spacing w:after="75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In order to help accelerate the progress of our year 7 students the following activities have been introduced into form time:</w:t>
      </w:r>
    </w:p>
    <w:p w:rsidR="00DA0B55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r w:rsidRPr="002B0402">
        <w:rPr>
          <w:rFonts w:eastAsia="Times New Roman" w:cs="Times New Roman"/>
          <w:u w:val="single"/>
          <w:lang w:eastAsia="en-GB"/>
        </w:rPr>
        <w:t>Times tables</w:t>
      </w:r>
      <w:r>
        <w:rPr>
          <w:rFonts w:eastAsia="Times New Roman" w:cs="Times New Roman"/>
          <w:lang w:eastAsia="en-GB"/>
        </w:rPr>
        <w:t xml:space="preserve">. On entry, the year 7 students were tested on their times tables knowledge and speed of recall by sitting a timed test comprising of 100 questions. This test is then used termly to track progress. </w:t>
      </w:r>
      <w:r w:rsidR="002E434D">
        <w:rPr>
          <w:rFonts w:eastAsia="Times New Roman" w:cs="Times New Roman"/>
          <w:lang w:eastAsia="en-GB"/>
        </w:rPr>
        <w:t>In terms 1 and 2 s</w:t>
      </w:r>
      <w:r>
        <w:rPr>
          <w:rFonts w:eastAsia="Times New Roman" w:cs="Times New Roman"/>
          <w:lang w:eastAsia="en-GB"/>
        </w:rPr>
        <w:t xml:space="preserve">tudents </w:t>
      </w:r>
      <w:r w:rsidR="002E434D">
        <w:rPr>
          <w:rFonts w:eastAsia="Times New Roman" w:cs="Times New Roman"/>
          <w:lang w:eastAsia="en-GB"/>
        </w:rPr>
        <w:t>were</w:t>
      </w:r>
      <w:r>
        <w:rPr>
          <w:rFonts w:eastAsia="Times New Roman" w:cs="Times New Roman"/>
          <w:lang w:eastAsia="en-GB"/>
        </w:rPr>
        <w:t xml:space="preserve"> set a specific times table to learn weekly for homework. Those students who have not made good progress </w:t>
      </w:r>
      <w:r w:rsidR="007F0735">
        <w:rPr>
          <w:rFonts w:eastAsia="Times New Roman" w:cs="Times New Roman"/>
          <w:lang w:eastAsia="en-GB"/>
        </w:rPr>
        <w:t xml:space="preserve">also attended </w:t>
      </w:r>
      <w:r>
        <w:rPr>
          <w:rFonts w:eastAsia="Times New Roman" w:cs="Times New Roman"/>
          <w:lang w:eastAsia="en-GB"/>
        </w:rPr>
        <w:t xml:space="preserve">a weekly </w:t>
      </w:r>
      <w:r w:rsidR="002E434D">
        <w:rPr>
          <w:rFonts w:eastAsia="Times New Roman" w:cs="Times New Roman"/>
          <w:lang w:eastAsia="en-GB"/>
        </w:rPr>
        <w:t xml:space="preserve">booster </w:t>
      </w:r>
      <w:r>
        <w:rPr>
          <w:rFonts w:eastAsia="Times New Roman" w:cs="Times New Roman"/>
          <w:lang w:eastAsia="en-GB"/>
        </w:rPr>
        <w:t>club</w:t>
      </w:r>
      <w:r w:rsidR="002E434D">
        <w:rPr>
          <w:rFonts w:eastAsia="Times New Roman" w:cs="Times New Roman"/>
          <w:lang w:eastAsia="en-GB"/>
        </w:rPr>
        <w:t>.</w:t>
      </w:r>
    </w:p>
    <w:p w:rsidR="00DA0B55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r w:rsidRPr="002B0402">
        <w:rPr>
          <w:rFonts w:eastAsia="Times New Roman" w:cs="Times New Roman"/>
          <w:u w:val="single"/>
          <w:lang w:eastAsia="en-GB"/>
        </w:rPr>
        <w:t>Reading</w:t>
      </w:r>
      <w:r>
        <w:rPr>
          <w:rFonts w:eastAsia="Times New Roman" w:cs="Times New Roman"/>
          <w:lang w:eastAsia="en-GB"/>
        </w:rPr>
        <w:t xml:space="preserve"> – each form reads weekly as a group. </w:t>
      </w:r>
    </w:p>
    <w:p w:rsidR="00DA0B55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r w:rsidRPr="002B0402">
        <w:rPr>
          <w:rFonts w:eastAsia="Times New Roman" w:cs="Times New Roman"/>
          <w:u w:val="single"/>
          <w:lang w:eastAsia="en-GB"/>
        </w:rPr>
        <w:t>Spellings</w:t>
      </w:r>
      <w:r>
        <w:rPr>
          <w:rFonts w:eastAsia="Times New Roman" w:cs="Times New Roman"/>
          <w:lang w:eastAsia="en-GB"/>
        </w:rPr>
        <w:t xml:space="preserve"> – each week the students have been taught a rule and then set a list of spellings following this rule for homework.</w:t>
      </w:r>
    </w:p>
    <w:p w:rsidR="00DA0B55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r w:rsidRPr="002B0402">
        <w:rPr>
          <w:rFonts w:eastAsia="Times New Roman" w:cs="Times New Roman"/>
          <w:u w:val="single"/>
          <w:lang w:eastAsia="en-GB"/>
        </w:rPr>
        <w:t>Vocabulary</w:t>
      </w:r>
      <w:r>
        <w:rPr>
          <w:rFonts w:eastAsia="Times New Roman" w:cs="Times New Roman"/>
          <w:lang w:eastAsia="en-GB"/>
        </w:rPr>
        <w:t xml:space="preserve"> – students’ vocabulary is being stretched via a form time activity</w:t>
      </w:r>
      <w:r w:rsidR="002E434D">
        <w:rPr>
          <w:rFonts w:eastAsia="Times New Roman" w:cs="Times New Roman"/>
          <w:lang w:eastAsia="en-GB"/>
        </w:rPr>
        <w:t xml:space="preserve"> in term 5</w:t>
      </w:r>
      <w:r>
        <w:rPr>
          <w:rFonts w:eastAsia="Times New Roman" w:cs="Times New Roman"/>
          <w:lang w:eastAsia="en-GB"/>
        </w:rPr>
        <w:t>.</w:t>
      </w:r>
    </w:p>
    <w:p w:rsidR="00DA0B55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proofErr w:type="spellStart"/>
      <w:r w:rsidRPr="002B0402">
        <w:rPr>
          <w:rFonts w:eastAsia="Times New Roman" w:cs="Times New Roman"/>
          <w:u w:val="single"/>
          <w:lang w:eastAsia="en-GB"/>
        </w:rPr>
        <w:t>Oracy</w:t>
      </w:r>
      <w:proofErr w:type="spellEnd"/>
      <w:r>
        <w:rPr>
          <w:rFonts w:eastAsia="Times New Roman" w:cs="Times New Roman"/>
          <w:lang w:eastAsia="en-GB"/>
        </w:rPr>
        <w:t xml:space="preserve"> programme – students are following a two week </w:t>
      </w:r>
      <w:proofErr w:type="spellStart"/>
      <w:r>
        <w:rPr>
          <w:rFonts w:eastAsia="Times New Roman" w:cs="Times New Roman"/>
          <w:lang w:eastAsia="en-GB"/>
        </w:rPr>
        <w:t>oracy</w:t>
      </w:r>
      <w:proofErr w:type="spellEnd"/>
      <w:r>
        <w:rPr>
          <w:rFonts w:eastAsia="Times New Roman" w:cs="Times New Roman"/>
          <w:lang w:eastAsia="en-GB"/>
        </w:rPr>
        <w:t xml:space="preserve">  programme  </w:t>
      </w:r>
    </w:p>
    <w:p w:rsidR="00DA0B55" w:rsidRPr="00B12E78" w:rsidRDefault="00DA0B55" w:rsidP="00DA0B55">
      <w:pPr>
        <w:pStyle w:val="ListParagraph"/>
        <w:numPr>
          <w:ilvl w:val="0"/>
          <w:numId w:val="6"/>
        </w:numPr>
        <w:spacing w:after="75" w:line="240" w:lineRule="auto"/>
        <w:rPr>
          <w:rFonts w:eastAsia="Times New Roman" w:cs="Times New Roman"/>
          <w:lang w:eastAsia="en-GB"/>
        </w:rPr>
      </w:pPr>
      <w:r w:rsidRPr="002B0402">
        <w:rPr>
          <w:rFonts w:eastAsia="Times New Roman" w:cs="Times New Roman"/>
          <w:u w:val="single"/>
          <w:lang w:eastAsia="en-GB"/>
        </w:rPr>
        <w:t>Debates</w:t>
      </w:r>
      <w:r>
        <w:rPr>
          <w:rFonts w:eastAsia="Times New Roman" w:cs="Times New Roman"/>
          <w:lang w:eastAsia="en-GB"/>
        </w:rPr>
        <w:t xml:space="preserve"> – students’ are having form debates on ethical issues following short videos.</w:t>
      </w:r>
    </w:p>
    <w:p w:rsidR="00DA0B55" w:rsidRDefault="00DA0B55" w:rsidP="00DA0B55">
      <w:pPr>
        <w:spacing w:after="75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 </w:t>
      </w:r>
    </w:p>
    <w:p w:rsidR="00DA0B55" w:rsidRPr="008E25C1" w:rsidRDefault="00DA0B55" w:rsidP="00DA0B55">
      <w:pPr>
        <w:spacing w:after="75" w:line="240" w:lineRule="auto"/>
        <w:rPr>
          <w:rFonts w:eastAsia="Times New Roman" w:cs="Times New Roman"/>
          <w:lang w:eastAsia="en-GB"/>
        </w:rPr>
      </w:pPr>
    </w:p>
    <w:p w:rsidR="00DA0B55" w:rsidRDefault="00DA0B55" w:rsidP="00DA0B55">
      <w:pPr>
        <w:spacing w:after="75" w:line="240" w:lineRule="auto"/>
        <w:rPr>
          <w:rFonts w:eastAsia="Times New Roman" w:cs="Calibri"/>
          <w:b/>
          <w:sz w:val="28"/>
          <w:szCs w:val="28"/>
          <w:lang w:eastAsia="en-GB"/>
        </w:rPr>
      </w:pPr>
      <w:r w:rsidRPr="0003619E">
        <w:rPr>
          <w:rFonts w:eastAsia="Times New Roman" w:cs="Calibri"/>
          <w:b/>
          <w:sz w:val="28"/>
          <w:szCs w:val="28"/>
          <w:lang w:eastAsia="en-GB"/>
        </w:rPr>
        <w:t xml:space="preserve">Year 8 </w:t>
      </w:r>
    </w:p>
    <w:p w:rsidR="00DA0B55" w:rsidRPr="009D65A7" w:rsidRDefault="00DA0B55" w:rsidP="00DA0B55">
      <w:pPr>
        <w:spacing w:after="75" w:line="240" w:lineRule="auto"/>
        <w:rPr>
          <w:rFonts w:eastAsia="Times New Roman" w:cs="Calibri"/>
          <w:b/>
          <w:color w:val="0070C0"/>
          <w:lang w:eastAsia="en-GB"/>
        </w:rPr>
      </w:pPr>
    </w:p>
    <w:p w:rsidR="00DA0B55" w:rsidRDefault="00DA0B55" w:rsidP="00DA0B55">
      <w:pPr>
        <w:pStyle w:val="ListParagraph"/>
        <w:numPr>
          <w:ilvl w:val="0"/>
          <w:numId w:val="4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1B4D1B">
        <w:rPr>
          <w:rFonts w:eastAsia="Times New Roman" w:cs="Calibri"/>
          <w:color w:val="000000"/>
          <w:lang w:eastAsia="en-GB"/>
        </w:rPr>
        <w:t xml:space="preserve">We are also continuing to support our </w:t>
      </w:r>
      <w:r>
        <w:rPr>
          <w:rFonts w:eastAsia="Times New Roman" w:cs="Calibri"/>
          <w:color w:val="000000"/>
          <w:lang w:eastAsia="en-GB"/>
        </w:rPr>
        <w:t xml:space="preserve">21 </w:t>
      </w:r>
      <w:r w:rsidRPr="001B4D1B">
        <w:rPr>
          <w:rFonts w:eastAsia="Times New Roman" w:cs="Calibri"/>
          <w:color w:val="000000"/>
          <w:lang w:eastAsia="en-GB"/>
        </w:rPr>
        <w:t xml:space="preserve">Year 8 students who were funded for Catch-up in Year 7 unless they have made significant progress in Maths/English lessons. We are providing small group and 1-1 intervention for reading using appropriate programmes.  In maths, our Teaching Group </w:t>
      </w:r>
      <w:proofErr w:type="gramStart"/>
      <w:r w:rsidRPr="001B4D1B">
        <w:rPr>
          <w:rFonts w:eastAsia="Times New Roman" w:cs="Calibri"/>
          <w:color w:val="000000"/>
          <w:lang w:eastAsia="en-GB"/>
        </w:rPr>
        <w:t>A</w:t>
      </w:r>
      <w:proofErr w:type="gramEnd"/>
      <w:r w:rsidRPr="001B4D1B">
        <w:rPr>
          <w:rFonts w:eastAsia="Times New Roman" w:cs="Calibri"/>
          <w:color w:val="000000"/>
          <w:lang w:eastAsia="en-GB"/>
        </w:rPr>
        <w:t xml:space="preserve"> Year 8 catch- up students </w:t>
      </w:r>
      <w:r w:rsidR="008549F9" w:rsidRPr="001B4D1B">
        <w:rPr>
          <w:rFonts w:eastAsia="Times New Roman" w:cs="Calibri"/>
          <w:color w:val="000000"/>
          <w:lang w:eastAsia="en-GB"/>
        </w:rPr>
        <w:t>continue</w:t>
      </w:r>
      <w:r w:rsidRPr="001B4D1B">
        <w:rPr>
          <w:rFonts w:eastAsia="Times New Roman" w:cs="Calibri"/>
          <w:color w:val="000000"/>
          <w:lang w:eastAsia="en-GB"/>
        </w:rPr>
        <w:t xml:space="preserve"> to receive an additional weekly lesson with a focus on core maths skills. The  Year 8 maths catch up students in Teaching Groups B and C will be offered small group intervention in terms 5 and 6 where this will be of benefit.  Students are withdrawn from specific timetabled lessons/form time to accommodate the intervention. </w:t>
      </w:r>
    </w:p>
    <w:p w:rsidR="00DA0B55" w:rsidRPr="0003619E" w:rsidRDefault="00DA0B55" w:rsidP="00DA0B55">
      <w:pPr>
        <w:spacing w:after="75" w:line="240" w:lineRule="auto"/>
        <w:rPr>
          <w:rFonts w:eastAsia="Times New Roman" w:cs="Calibri"/>
          <w:color w:val="000000"/>
          <w:lang w:eastAsia="en-GB"/>
        </w:rPr>
      </w:pPr>
    </w:p>
    <w:p w:rsidR="003836A4" w:rsidRDefault="003836A4" w:rsidP="00DA0B55">
      <w:pPr>
        <w:spacing w:after="75" w:line="240" w:lineRule="auto"/>
        <w:rPr>
          <w:rFonts w:eastAsia="Times New Roman" w:cs="Calibri"/>
          <w:b/>
          <w:sz w:val="24"/>
          <w:szCs w:val="24"/>
          <w:lang w:eastAsia="en-GB"/>
        </w:rPr>
      </w:pPr>
    </w:p>
    <w:p w:rsidR="00DA0B55" w:rsidRPr="0003619E" w:rsidRDefault="00DA0B55" w:rsidP="00DA0B55">
      <w:pPr>
        <w:spacing w:after="75" w:line="240" w:lineRule="auto"/>
        <w:rPr>
          <w:rFonts w:eastAsia="Times New Roman" w:cs="Calibri"/>
          <w:b/>
          <w:sz w:val="24"/>
          <w:szCs w:val="24"/>
          <w:lang w:eastAsia="en-GB"/>
        </w:rPr>
      </w:pPr>
      <w:r w:rsidRPr="0003619E">
        <w:rPr>
          <w:rFonts w:eastAsia="Times New Roman" w:cs="Calibri"/>
          <w:b/>
          <w:sz w:val="24"/>
          <w:szCs w:val="24"/>
          <w:lang w:eastAsia="en-GB"/>
        </w:rPr>
        <w:t xml:space="preserve">Progress made </w:t>
      </w:r>
      <w:r w:rsidR="00A0151A">
        <w:rPr>
          <w:rFonts w:eastAsia="Times New Roman" w:cs="Calibri"/>
          <w:b/>
          <w:sz w:val="24"/>
          <w:szCs w:val="24"/>
          <w:lang w:eastAsia="en-GB"/>
        </w:rPr>
        <w:t xml:space="preserve">by reading catch-up students </w:t>
      </w:r>
      <w:r w:rsidRPr="0003619E">
        <w:rPr>
          <w:rFonts w:eastAsia="Times New Roman" w:cs="Calibri"/>
          <w:b/>
          <w:sz w:val="24"/>
          <w:szCs w:val="24"/>
          <w:lang w:eastAsia="en-GB"/>
        </w:rPr>
        <w:t>during year 7</w:t>
      </w:r>
    </w:p>
    <w:p w:rsidR="00DA0B55" w:rsidRDefault="00DA0B55" w:rsidP="00DA0B55">
      <w:pPr>
        <w:pStyle w:val="ListParagraph"/>
        <w:numPr>
          <w:ilvl w:val="0"/>
          <w:numId w:val="7"/>
        </w:numPr>
        <w:spacing w:after="75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12 students in total (originally 13).</w:t>
      </w:r>
    </w:p>
    <w:p w:rsidR="00DA0B55" w:rsidRDefault="00DA0B55" w:rsidP="00DA0B55">
      <w:pPr>
        <w:pStyle w:val="ListParagraph"/>
        <w:numPr>
          <w:ilvl w:val="0"/>
          <w:numId w:val="7"/>
        </w:numPr>
        <w:spacing w:after="75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2 students have achieved reading ages in line</w:t>
      </w:r>
      <w:r w:rsidR="00034BE9">
        <w:rPr>
          <w:rFonts w:eastAsia="Times New Roman" w:cs="Calibri"/>
          <w:lang w:eastAsia="en-GB"/>
        </w:rPr>
        <w:t xml:space="preserve"> with</w:t>
      </w:r>
      <w:r>
        <w:rPr>
          <w:rFonts w:eastAsia="Times New Roman" w:cs="Calibri"/>
          <w:lang w:eastAsia="en-GB"/>
        </w:rPr>
        <w:t xml:space="preserve"> or above their chronological ages. </w:t>
      </w:r>
    </w:p>
    <w:p w:rsidR="00DA0B55" w:rsidRDefault="00DA0B55" w:rsidP="00DA0B55">
      <w:pPr>
        <w:pStyle w:val="ListParagraph"/>
        <w:numPr>
          <w:ilvl w:val="0"/>
          <w:numId w:val="7"/>
        </w:numPr>
        <w:spacing w:after="75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4 students now have reading ages within 16 months of their chronological age and will receive further intervention towards the end of year 8.</w:t>
      </w:r>
    </w:p>
    <w:p w:rsidR="00DA0B55" w:rsidRDefault="00DA0B55" w:rsidP="00DA0B55">
      <w:pPr>
        <w:pStyle w:val="ListParagraph"/>
        <w:numPr>
          <w:ilvl w:val="0"/>
          <w:numId w:val="7"/>
        </w:numPr>
        <w:spacing w:after="75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4 students have made progress of at least 21 months</w:t>
      </w:r>
      <w:r w:rsidR="00E33936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 xml:space="preserve">and are currently receiving further intervention in year 8 to help them continue to close the gap between reading and chronological ages. </w:t>
      </w:r>
    </w:p>
    <w:p w:rsidR="00DA0B55" w:rsidRPr="000C4D6B" w:rsidRDefault="00DA0B55" w:rsidP="00DA0B55">
      <w:pPr>
        <w:pStyle w:val="ListParagraph"/>
        <w:numPr>
          <w:ilvl w:val="0"/>
          <w:numId w:val="7"/>
        </w:numPr>
        <w:spacing w:after="75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2 students continue to have low reading ages and have not made good progress in year 7.  We will continue to work with these students throughout year 8.</w:t>
      </w:r>
    </w:p>
    <w:p w:rsidR="00DA0B55" w:rsidRDefault="00DA0B55" w:rsidP="00DA0B55">
      <w:pPr>
        <w:spacing w:after="75" w:line="240" w:lineRule="auto"/>
        <w:rPr>
          <w:rFonts w:eastAsia="Times New Roman" w:cs="Calibri"/>
          <w:b/>
          <w:lang w:eastAsia="en-GB"/>
        </w:rPr>
      </w:pPr>
    </w:p>
    <w:p w:rsidR="00DA0B55" w:rsidRPr="00C34C51" w:rsidRDefault="00DA0B55" w:rsidP="00DA0B55">
      <w:pPr>
        <w:spacing w:after="75" w:line="240" w:lineRule="auto"/>
        <w:ind w:left="360"/>
        <w:rPr>
          <w:rFonts w:eastAsia="Times New Roman" w:cs="Calibri"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eastAsia="Times New Roman" w:cs="Calibri"/>
          <w:b/>
          <w:color w:val="000000"/>
          <w:lang w:eastAsia="en-GB"/>
        </w:rPr>
      </w:pPr>
    </w:p>
    <w:p w:rsidR="00DA0B55" w:rsidRPr="0003619E" w:rsidRDefault="00DA0B55" w:rsidP="00DA0B55">
      <w:pPr>
        <w:spacing w:after="75" w:line="240" w:lineRule="auto"/>
        <w:rPr>
          <w:rFonts w:eastAsia="Times New Roman" w:cs="Calibri"/>
          <w:b/>
          <w:color w:val="000000"/>
          <w:sz w:val="28"/>
          <w:szCs w:val="28"/>
          <w:lang w:eastAsia="en-GB"/>
        </w:rPr>
      </w:pPr>
      <w:r w:rsidRPr="0003619E">
        <w:rPr>
          <w:rFonts w:eastAsia="Times New Roman" w:cs="Calibri"/>
          <w:b/>
          <w:color w:val="000000"/>
          <w:sz w:val="28"/>
          <w:szCs w:val="28"/>
          <w:lang w:eastAsia="en-GB"/>
        </w:rPr>
        <w:t>Additional Information</w:t>
      </w:r>
    </w:p>
    <w:p w:rsidR="00DA0B55" w:rsidRPr="001B4D1B" w:rsidRDefault="00DA0B55" w:rsidP="00DA0B55">
      <w:pPr>
        <w:pStyle w:val="ListParagraph"/>
        <w:numPr>
          <w:ilvl w:val="0"/>
          <w:numId w:val="4"/>
        </w:num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1B4D1B">
        <w:rPr>
          <w:rFonts w:eastAsia="Times New Roman" w:cs="Calibri"/>
          <w:color w:val="000000"/>
          <w:lang w:eastAsia="en-GB"/>
        </w:rPr>
        <w:t xml:space="preserve">We are very encouraged to note that only one of our year 10 reading catch up students </w:t>
      </w:r>
      <w:r>
        <w:rPr>
          <w:rFonts w:eastAsia="Times New Roman" w:cs="Calibri"/>
          <w:color w:val="000000"/>
          <w:lang w:eastAsia="en-GB"/>
        </w:rPr>
        <w:t xml:space="preserve">will </w:t>
      </w:r>
      <w:r w:rsidRPr="001B4D1B">
        <w:rPr>
          <w:rFonts w:eastAsia="Times New Roman" w:cs="Calibri"/>
          <w:color w:val="000000"/>
          <w:lang w:eastAsia="en-GB"/>
        </w:rPr>
        <w:t xml:space="preserve">require the </w:t>
      </w:r>
      <w:r>
        <w:rPr>
          <w:rFonts w:eastAsia="Times New Roman" w:cs="Calibri"/>
          <w:color w:val="000000"/>
          <w:lang w:eastAsia="en-GB"/>
        </w:rPr>
        <w:t xml:space="preserve">support </w:t>
      </w:r>
      <w:r w:rsidRPr="001B4D1B">
        <w:rPr>
          <w:rFonts w:eastAsia="Times New Roman" w:cs="Calibri"/>
          <w:color w:val="000000"/>
          <w:lang w:eastAsia="en-GB"/>
        </w:rPr>
        <w:t xml:space="preserve">of a reader </w:t>
      </w:r>
      <w:r>
        <w:rPr>
          <w:rFonts w:eastAsia="Times New Roman" w:cs="Calibri"/>
          <w:color w:val="000000"/>
          <w:lang w:eastAsia="en-GB"/>
        </w:rPr>
        <w:t xml:space="preserve">as part of their ACCESS arrangements in years 10 and 11 (compared to 4 students in 2016-17 when the catch up programme was not fully </w:t>
      </w:r>
      <w:r>
        <w:rPr>
          <w:rFonts w:eastAsia="Times New Roman" w:cs="Calibri"/>
          <w:color w:val="000000"/>
          <w:lang w:eastAsia="en-GB"/>
        </w:rPr>
        <w:lastRenderedPageBreak/>
        <w:t>implemented and 5 students in 2015-2016 prior to the start of the catch-up programme). This is due to the intensive and personalised programme which has continued for students with literacy difficulties throughout their schooling, rather than just in year 7.</w:t>
      </w:r>
    </w:p>
    <w:p w:rsidR="00DA0B55" w:rsidRPr="001B4D1B" w:rsidRDefault="00DA0B55" w:rsidP="00DA0B55">
      <w:pPr>
        <w:pStyle w:val="ListParagraph"/>
        <w:numPr>
          <w:ilvl w:val="0"/>
          <w:numId w:val="5"/>
        </w:numPr>
        <w:spacing w:after="75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B4D1B">
        <w:rPr>
          <w:rFonts w:eastAsia="Times New Roman" w:cs="Calibri"/>
          <w:color w:val="000000"/>
          <w:lang w:eastAsia="en-GB"/>
        </w:rPr>
        <w:t xml:space="preserve">Our literacy support programme </w:t>
      </w:r>
      <w:r>
        <w:rPr>
          <w:rFonts w:eastAsia="Times New Roman" w:cs="Calibri"/>
          <w:color w:val="000000"/>
          <w:lang w:eastAsia="en-GB"/>
        </w:rPr>
        <w:t xml:space="preserve">received an award </w:t>
      </w:r>
      <w:r w:rsidRPr="001B4D1B">
        <w:rPr>
          <w:rFonts w:eastAsia="Times New Roman" w:cs="Calibri"/>
          <w:color w:val="000000"/>
          <w:lang w:eastAsia="en-GB"/>
        </w:rPr>
        <w:t xml:space="preserve">at the 2016 Kent Literacy Awards. </w:t>
      </w:r>
    </w:p>
    <w:p w:rsidR="00DA0B55" w:rsidRPr="00BA6D57" w:rsidRDefault="00DA0B55" w:rsidP="00DA0B55">
      <w:pPr>
        <w:pStyle w:val="ListParagraph"/>
        <w:numPr>
          <w:ilvl w:val="0"/>
          <w:numId w:val="5"/>
        </w:numPr>
        <w:spacing w:after="75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We invited Specialist Teaching Services to visit us in January to gain advice on a small number of students who are not making satisfactory reading progress.  They were impressed by the depth and personalisation of our literacy programme.  They recommended we should try a spelling programme for these students and concluded that we had a robust catch-up programme in place. </w:t>
      </w: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</w:p>
    <w:p w:rsidR="00DA0B55" w:rsidRDefault="00DA0B55" w:rsidP="00DA0B55">
      <w:pPr>
        <w:spacing w:after="75" w:line="240" w:lineRule="auto"/>
        <w:rPr>
          <w:rFonts w:eastAsia="Times New Roman" w:cs="Calibri"/>
          <w:b/>
          <w:color w:val="000000"/>
          <w:sz w:val="28"/>
          <w:szCs w:val="28"/>
          <w:lang w:eastAsia="en-GB"/>
        </w:rPr>
      </w:pPr>
    </w:p>
    <w:p w:rsidR="00DA0B55" w:rsidRDefault="00DA0B55" w:rsidP="00DA0B55">
      <w:pPr>
        <w:spacing w:after="75" w:line="240" w:lineRule="auto"/>
        <w:rPr>
          <w:rFonts w:eastAsia="Times New Roman" w:cs="Calibri"/>
          <w:b/>
          <w:color w:val="000000"/>
          <w:sz w:val="28"/>
          <w:szCs w:val="28"/>
          <w:lang w:eastAsia="en-GB"/>
        </w:rPr>
      </w:pPr>
    </w:p>
    <w:p w:rsidR="00FD48B9" w:rsidRDefault="00FD48B9"/>
    <w:sectPr w:rsidR="00FD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54" w:rsidRDefault="00BB2754" w:rsidP="00BB2754">
      <w:pPr>
        <w:spacing w:after="0" w:line="240" w:lineRule="auto"/>
      </w:pPr>
      <w:r>
        <w:separator/>
      </w:r>
    </w:p>
  </w:endnote>
  <w:endnote w:type="continuationSeparator" w:id="0">
    <w:p w:rsidR="00BB2754" w:rsidRDefault="00BB2754" w:rsidP="00BB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54" w:rsidRDefault="00BB2754" w:rsidP="00BB2754">
      <w:pPr>
        <w:spacing w:after="0" w:line="240" w:lineRule="auto"/>
      </w:pPr>
      <w:r>
        <w:separator/>
      </w:r>
    </w:p>
  </w:footnote>
  <w:footnote w:type="continuationSeparator" w:id="0">
    <w:p w:rsidR="00BB2754" w:rsidRDefault="00BB2754" w:rsidP="00BB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025"/>
    <w:multiLevelType w:val="hybridMultilevel"/>
    <w:tmpl w:val="73E6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D3A"/>
    <w:multiLevelType w:val="hybridMultilevel"/>
    <w:tmpl w:val="047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6AB7"/>
    <w:multiLevelType w:val="hybridMultilevel"/>
    <w:tmpl w:val="91B2C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5009E"/>
    <w:multiLevelType w:val="hybridMultilevel"/>
    <w:tmpl w:val="CE6A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23C2B"/>
    <w:multiLevelType w:val="hybridMultilevel"/>
    <w:tmpl w:val="CE56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D7EE1"/>
    <w:multiLevelType w:val="hybridMultilevel"/>
    <w:tmpl w:val="1A92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82F7C"/>
    <w:multiLevelType w:val="hybridMultilevel"/>
    <w:tmpl w:val="B11A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55"/>
    <w:rsid w:val="000311A5"/>
    <w:rsid w:val="00034BE9"/>
    <w:rsid w:val="000F598E"/>
    <w:rsid w:val="0013478E"/>
    <w:rsid w:val="00263C09"/>
    <w:rsid w:val="002E434D"/>
    <w:rsid w:val="003836A4"/>
    <w:rsid w:val="00454B36"/>
    <w:rsid w:val="004D2D3B"/>
    <w:rsid w:val="00731F7F"/>
    <w:rsid w:val="007F0735"/>
    <w:rsid w:val="00840E47"/>
    <w:rsid w:val="008549F9"/>
    <w:rsid w:val="009350BA"/>
    <w:rsid w:val="009C47BE"/>
    <w:rsid w:val="00A0151A"/>
    <w:rsid w:val="00A61336"/>
    <w:rsid w:val="00A84ACE"/>
    <w:rsid w:val="00AB6430"/>
    <w:rsid w:val="00B67A96"/>
    <w:rsid w:val="00BB2754"/>
    <w:rsid w:val="00C05F02"/>
    <w:rsid w:val="00CE4461"/>
    <w:rsid w:val="00D66ECE"/>
    <w:rsid w:val="00DA0B55"/>
    <w:rsid w:val="00E1185F"/>
    <w:rsid w:val="00E16F54"/>
    <w:rsid w:val="00E248B0"/>
    <w:rsid w:val="00E33936"/>
    <w:rsid w:val="00E56C2E"/>
    <w:rsid w:val="00F67B2B"/>
    <w:rsid w:val="00FB2830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0B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84A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4AC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B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54"/>
  </w:style>
  <w:style w:type="paragraph" w:styleId="Footer">
    <w:name w:val="footer"/>
    <w:basedOn w:val="Normal"/>
    <w:link w:val="FooterChar"/>
    <w:uiPriority w:val="99"/>
    <w:unhideWhenUsed/>
    <w:rsid w:val="00BB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0B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84A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4AC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B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54"/>
  </w:style>
  <w:style w:type="paragraph" w:styleId="Footer">
    <w:name w:val="footer"/>
    <w:basedOn w:val="Normal"/>
    <w:link w:val="FooterChar"/>
    <w:uiPriority w:val="99"/>
    <w:unhideWhenUsed/>
    <w:rsid w:val="00BB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C73A0369</Template>
  <TotalTime>288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SL. Lelittka</dc:creator>
  <cp:lastModifiedBy>Sue SL. Lelittka</cp:lastModifiedBy>
  <cp:revision>21</cp:revision>
  <dcterms:created xsi:type="dcterms:W3CDTF">2017-03-27T13:16:00Z</dcterms:created>
  <dcterms:modified xsi:type="dcterms:W3CDTF">2017-07-06T09:31:00Z</dcterms:modified>
</cp:coreProperties>
</file>